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D561C4">
      <w:pPr>
        <w:spacing w:line="560" w:lineRule="exact"/>
        <w:jc w:val="left"/>
        <w:rPr>
          <w:rFonts w:ascii="黑体" w:hAnsi="黑体" w:eastAsia="黑体" w:cs="黑体"/>
          <w:b/>
          <w:sz w:val="32"/>
          <w:szCs w:val="32"/>
        </w:rPr>
      </w:pPr>
      <w:r>
        <w:rPr>
          <w:rFonts w:hint="eastAsia" w:ascii="黑体" w:hAnsi="黑体" w:eastAsia="黑体" w:cs="黑体"/>
          <w:b/>
          <w:sz w:val="32"/>
          <w:szCs w:val="32"/>
        </w:rPr>
        <w:t>附件1：</w:t>
      </w:r>
    </w:p>
    <w:p w14:paraId="485E154A">
      <w:pPr>
        <w:pStyle w:val="8"/>
      </w:pPr>
    </w:p>
    <w:p w14:paraId="2B23DE14">
      <w:pPr>
        <w:spacing w:line="360" w:lineRule="auto"/>
        <w:jc w:val="center"/>
      </w:pPr>
      <w:r>
        <w:rPr>
          <w:rFonts w:hint="eastAsia" w:ascii="方正小标宋简体" w:hAnsi="方正小标宋简体" w:eastAsia="方正小标宋简体" w:cs="方正小标宋简体"/>
          <w:bCs/>
          <w:sz w:val="44"/>
          <w:szCs w:val="44"/>
          <w:lang w:val="en-US" w:eastAsia="zh-CN"/>
        </w:rPr>
        <w:t>深圳时尚小镇美憬阁精选</w:t>
      </w:r>
      <w:r>
        <w:rPr>
          <w:rFonts w:hint="eastAsia" w:ascii="方正小标宋简体" w:hAnsi="方正小标宋简体" w:eastAsia="方正小标宋简体" w:cs="方正小标宋简体"/>
          <w:bCs/>
          <w:sz w:val="44"/>
          <w:szCs w:val="44"/>
        </w:rPr>
        <w:t>酒店</w:t>
      </w:r>
      <w:r>
        <w:rPr>
          <w:rFonts w:hint="eastAsia" w:ascii="方正小标宋简体" w:hAnsi="方正小标宋简体" w:eastAsia="方正小标宋简体" w:cs="方正小标宋简体"/>
          <w:bCs/>
          <w:sz w:val="44"/>
          <w:szCs w:val="44"/>
          <w:lang w:val="en-US" w:eastAsia="zh-CN"/>
        </w:rPr>
        <w:t>2026年度月饼</w:t>
      </w:r>
      <w:r>
        <w:rPr>
          <w:rFonts w:hint="eastAsia" w:ascii="方正小标宋简体" w:hAnsi="方正小标宋简体" w:eastAsia="方正小标宋简体" w:cs="方正小标宋简体"/>
          <w:bCs/>
          <w:sz w:val="44"/>
          <w:szCs w:val="44"/>
        </w:rPr>
        <w:t>采购招标方案</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1"/>
        <w:gridCol w:w="2091"/>
        <w:gridCol w:w="6784"/>
      </w:tblGrid>
      <w:tr w14:paraId="3EBAE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3" w:hRule="atLeast"/>
          <w:jc w:val="center"/>
        </w:trPr>
        <w:tc>
          <w:tcPr>
            <w:tcW w:w="841" w:type="dxa"/>
            <w:vAlign w:val="center"/>
          </w:tcPr>
          <w:p w14:paraId="69AA823E">
            <w:pPr>
              <w:widowControl/>
              <w:overflowPunct w:val="0"/>
              <w:adjustRightInd w:val="0"/>
              <w:snapToGrid w:val="0"/>
              <w:jc w:val="center"/>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序号</w:t>
            </w:r>
          </w:p>
        </w:tc>
        <w:tc>
          <w:tcPr>
            <w:tcW w:w="2091" w:type="dxa"/>
            <w:vAlign w:val="center"/>
          </w:tcPr>
          <w:p w14:paraId="5E6AC6F1">
            <w:pPr>
              <w:widowControl/>
              <w:overflowPunct w:val="0"/>
              <w:adjustRightInd w:val="0"/>
              <w:snapToGrid w:val="0"/>
              <w:jc w:val="center"/>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项目</w:t>
            </w:r>
          </w:p>
        </w:tc>
        <w:tc>
          <w:tcPr>
            <w:tcW w:w="6784" w:type="dxa"/>
            <w:vAlign w:val="center"/>
          </w:tcPr>
          <w:p w14:paraId="73E733B8">
            <w:pPr>
              <w:widowControl/>
              <w:overflowPunct w:val="0"/>
              <w:adjustRightInd w:val="0"/>
              <w:snapToGrid w:val="0"/>
              <w:jc w:val="center"/>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内容摘要说明</w:t>
            </w:r>
          </w:p>
        </w:tc>
      </w:tr>
      <w:tr w14:paraId="57DF4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41" w:type="dxa"/>
            <w:vAlign w:val="center"/>
          </w:tcPr>
          <w:p w14:paraId="7AAC4536">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1</w:t>
            </w:r>
          </w:p>
        </w:tc>
        <w:tc>
          <w:tcPr>
            <w:tcW w:w="2091" w:type="dxa"/>
            <w:vAlign w:val="center"/>
          </w:tcPr>
          <w:p w14:paraId="72D65D73">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项目名称</w:t>
            </w:r>
          </w:p>
        </w:tc>
        <w:tc>
          <w:tcPr>
            <w:tcW w:w="6784" w:type="dxa"/>
            <w:vAlign w:val="center"/>
          </w:tcPr>
          <w:p w14:paraId="740469B9">
            <w:pPr>
              <w:widowControl/>
              <w:overflowPunct w:val="0"/>
              <w:adjustRightInd w:val="0"/>
              <w:snapToGrid w:val="0"/>
              <w:rPr>
                <w:rFonts w:ascii="仿宋_GB2312" w:hAnsi="仿宋_GB2312" w:eastAsia="仿宋_GB2312" w:cs="仿宋_GB2312"/>
                <w:sz w:val="24"/>
                <w:szCs w:val="24"/>
              </w:rPr>
            </w:pPr>
            <w:bookmarkStart w:id="0" w:name="_Hlk200120678"/>
            <w:r>
              <w:rPr>
                <w:rFonts w:hint="eastAsia" w:ascii="仿宋_GB2312" w:hAnsi="仿宋_GB2312" w:eastAsia="仿宋_GB2312" w:cs="仿宋_GB2312"/>
                <w:sz w:val="24"/>
                <w:szCs w:val="24"/>
                <w:lang w:val="en-US" w:eastAsia="zh-CN"/>
              </w:rPr>
              <w:t>深圳时尚小镇美憬阁精选</w:t>
            </w:r>
            <w:r>
              <w:rPr>
                <w:rFonts w:hint="eastAsia" w:ascii="仿宋_GB2312" w:hAnsi="仿宋_GB2312" w:eastAsia="仿宋_GB2312" w:cs="仿宋_GB2312"/>
                <w:sz w:val="24"/>
                <w:szCs w:val="24"/>
              </w:rPr>
              <w:t>酒店</w:t>
            </w:r>
            <w:r>
              <w:rPr>
                <w:rFonts w:hint="eastAsia" w:ascii="仿宋_GB2312" w:hAnsi="仿宋_GB2312" w:eastAsia="仿宋_GB2312" w:cs="仿宋_GB2312"/>
                <w:sz w:val="24"/>
                <w:szCs w:val="24"/>
                <w:lang w:val="en-US" w:eastAsia="zh-CN"/>
              </w:rPr>
              <w:t>2026年度月饼</w:t>
            </w:r>
            <w:r>
              <w:rPr>
                <w:rFonts w:hint="eastAsia" w:ascii="仿宋_GB2312" w:hAnsi="仿宋_GB2312" w:eastAsia="仿宋_GB2312" w:cs="仿宋_GB2312"/>
                <w:sz w:val="24"/>
                <w:szCs w:val="24"/>
              </w:rPr>
              <w:t>采购</w:t>
            </w:r>
            <w:bookmarkEnd w:id="0"/>
          </w:p>
        </w:tc>
      </w:tr>
      <w:tr w14:paraId="38E01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0" w:hRule="atLeast"/>
          <w:jc w:val="center"/>
        </w:trPr>
        <w:tc>
          <w:tcPr>
            <w:tcW w:w="841" w:type="dxa"/>
            <w:tcBorders>
              <w:bottom w:val="single" w:color="000000" w:sz="4" w:space="0"/>
            </w:tcBorders>
            <w:vAlign w:val="center"/>
          </w:tcPr>
          <w:p w14:paraId="4E7E6E32">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2</w:t>
            </w:r>
          </w:p>
        </w:tc>
        <w:tc>
          <w:tcPr>
            <w:tcW w:w="2091" w:type="dxa"/>
            <w:tcBorders>
              <w:bottom w:val="single" w:color="000000" w:sz="4" w:space="0"/>
            </w:tcBorders>
            <w:vAlign w:val="center"/>
          </w:tcPr>
          <w:p w14:paraId="5FCEFBF0">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项目概况</w:t>
            </w:r>
          </w:p>
        </w:tc>
        <w:tc>
          <w:tcPr>
            <w:tcW w:w="6784" w:type="dxa"/>
            <w:tcBorders>
              <w:bottom w:val="single" w:color="000000" w:sz="4" w:space="0"/>
            </w:tcBorders>
            <w:vAlign w:val="center"/>
          </w:tcPr>
          <w:p w14:paraId="41CD9FF2">
            <w:pPr>
              <w:widowControl/>
              <w:overflowPunct w:val="0"/>
              <w:adjustRightInd w:val="0"/>
              <w:snapToGrid w:val="0"/>
              <w:rPr>
                <w:rFonts w:ascii="仿宋_GB2312" w:hAnsi="仿宋_GB2312" w:eastAsia="仿宋_GB2312" w:cs="仿宋_GB2312"/>
                <w:sz w:val="24"/>
                <w:szCs w:val="24"/>
              </w:rPr>
            </w:pPr>
            <w:r>
              <w:rPr>
                <w:rFonts w:hint="eastAsia" w:ascii="仿宋_GB2312" w:hAnsi="仿宋_GB2312" w:eastAsia="仿宋_GB2312" w:cs="仿宋_GB2312"/>
                <w:sz w:val="24"/>
                <w:szCs w:val="24"/>
              </w:rPr>
              <w:t>项目位于深圳市龙华区大浪街道浪韵路8号，酒店建筑面积30350</w:t>
            </w:r>
            <w:r>
              <w:rPr>
                <w:rFonts w:hint="eastAsia" w:ascii="Segoe UI Symbol" w:hAnsi="Segoe UI Symbol" w:eastAsia="Segoe UI Symbol" w:cs="Segoe UI Symbol"/>
                <w:sz w:val="24"/>
                <w:szCs w:val="24"/>
              </w:rPr>
              <w:t>㎡</w:t>
            </w:r>
            <w:r>
              <w:rPr>
                <w:rFonts w:hint="eastAsia" w:ascii="仿宋_GB2312" w:hAnsi="仿宋_GB2312" w:eastAsia="仿宋_GB2312" w:cs="仿宋_GB2312"/>
                <w:sz w:val="24"/>
                <w:szCs w:val="24"/>
              </w:rPr>
              <w:t>(客房区面积18657.57</w:t>
            </w:r>
            <w:r>
              <w:rPr>
                <w:rFonts w:hint="eastAsia" w:ascii="Segoe UI Symbol" w:hAnsi="Segoe UI Symbol" w:eastAsia="Segoe UI Symbol" w:cs="Segoe UI Symbol"/>
                <w:sz w:val="24"/>
                <w:szCs w:val="24"/>
              </w:rPr>
              <w:t>㎡</w:t>
            </w:r>
            <w:r>
              <w:rPr>
                <w:rFonts w:hint="eastAsia" w:ascii="仿宋_GB2312" w:hAnsi="仿宋_GB2312" w:eastAsia="仿宋_GB2312" w:cs="仿宋_GB2312"/>
                <w:sz w:val="24"/>
                <w:szCs w:val="24"/>
              </w:rPr>
              <w:t>，公共区域面1</w:t>
            </w:r>
            <w:r>
              <w:rPr>
                <w:rFonts w:hint="eastAsia" w:ascii="仿宋_GB2312" w:hAnsi="仿宋_GB2312" w:eastAsia="仿宋_GB2312" w:cs="仿宋_GB2312"/>
                <w:sz w:val="24"/>
                <w:szCs w:val="24"/>
                <w:lang w:val="en-US" w:eastAsia="zh-CN"/>
              </w:rPr>
              <w:t>1</w:t>
            </w:r>
            <w:r>
              <w:rPr>
                <w:rFonts w:hint="eastAsia" w:ascii="仿宋_GB2312" w:hAnsi="仿宋_GB2312" w:eastAsia="仿宋_GB2312" w:cs="仿宋_GB2312"/>
                <w:sz w:val="24"/>
                <w:szCs w:val="24"/>
              </w:rPr>
              <w:t>692</w:t>
            </w:r>
            <w:r>
              <w:rPr>
                <w:rFonts w:hint="eastAsia" w:ascii="仿宋_GB2312" w:hAnsi="仿宋_GB2312" w:eastAsia="仿宋_GB2312" w:cs="仿宋_GB2312"/>
                <w:sz w:val="24"/>
                <w:szCs w:val="24"/>
                <w:lang w:val="en-US" w:eastAsia="zh-CN"/>
              </w:rPr>
              <w:t>.</w:t>
            </w:r>
            <w:r>
              <w:rPr>
                <w:rFonts w:hint="eastAsia" w:ascii="仿宋_GB2312" w:hAnsi="仿宋_GB2312" w:eastAsia="仿宋_GB2312" w:cs="仿宋_GB2312"/>
                <w:sz w:val="24"/>
                <w:szCs w:val="24"/>
              </w:rPr>
              <w:t>43</w:t>
            </w:r>
            <w:r>
              <w:rPr>
                <w:rFonts w:hint="eastAsia" w:ascii="Segoe UI Symbol" w:hAnsi="Segoe UI Symbol" w:eastAsia="Segoe UI Symbol" w:cs="Segoe UI Symbol"/>
                <w:sz w:val="24"/>
                <w:szCs w:val="24"/>
              </w:rPr>
              <w:t>㎡</w:t>
            </w:r>
            <w:r>
              <w:rPr>
                <w:rFonts w:hint="eastAsia" w:ascii="仿宋_GB2312" w:hAnsi="仿宋_GB2312" w:eastAsia="仿宋_GB2312" w:cs="仿宋_GB2312"/>
                <w:sz w:val="24"/>
                <w:szCs w:val="24"/>
              </w:rPr>
              <w:t>)，酒店管理用房3506</w:t>
            </w:r>
            <w:r>
              <w:rPr>
                <w:rFonts w:hint="eastAsia" w:ascii="Segoe UI Symbol" w:hAnsi="Segoe UI Symbol" w:eastAsia="Segoe UI Symbol" w:cs="Segoe UI Symbol"/>
                <w:sz w:val="24"/>
                <w:szCs w:val="24"/>
              </w:rPr>
              <w:t>㎡</w:t>
            </w:r>
            <w:r>
              <w:rPr>
                <w:rFonts w:hint="eastAsia" w:ascii="仿宋_GB2312" w:hAnsi="仿宋_GB2312" w:eastAsia="仿宋_GB2312" w:cs="仿宋_GB2312"/>
                <w:sz w:val="24"/>
                <w:szCs w:val="24"/>
              </w:rPr>
              <w:t>。客房总数26</w:t>
            </w:r>
            <w:r>
              <w:rPr>
                <w:rFonts w:hint="eastAsia" w:ascii="仿宋_GB2312" w:hAnsi="仿宋_GB2312" w:eastAsia="仿宋_GB2312" w:cs="仿宋_GB2312"/>
                <w:sz w:val="24"/>
                <w:szCs w:val="24"/>
                <w:lang w:val="en-US" w:eastAsia="zh-CN"/>
              </w:rPr>
              <w:t>2</w:t>
            </w:r>
            <w:r>
              <w:rPr>
                <w:rFonts w:hint="eastAsia" w:ascii="仿宋_GB2312" w:hAnsi="仿宋_GB2312" w:eastAsia="仿宋_GB2312" w:cs="仿宋_GB2312"/>
                <w:sz w:val="24"/>
                <w:szCs w:val="24"/>
              </w:rPr>
              <w:t>间，全日制餐厅136个餐位，中餐厅40个餐位及7个包房、大堂吧40个餐位，酒廊54个餐位，大宴会厅886.4</w:t>
            </w:r>
            <w:r>
              <w:rPr>
                <w:rFonts w:hint="eastAsia" w:ascii="Segoe UI Symbol" w:hAnsi="Segoe UI Symbol" w:eastAsia="Segoe UI Symbol" w:cs="Segoe UI Symbol"/>
                <w:sz w:val="24"/>
                <w:szCs w:val="24"/>
              </w:rPr>
              <w:t>㎡</w:t>
            </w:r>
            <w:r>
              <w:rPr>
                <w:rFonts w:hint="eastAsia" w:ascii="仿宋_GB2312" w:hAnsi="仿宋_GB2312" w:eastAsia="仿宋_GB2312" w:cs="仿宋_GB2312"/>
                <w:sz w:val="24"/>
                <w:szCs w:val="24"/>
              </w:rPr>
              <w:t>，会议室3间，康体配套有健身房及游泳池。</w:t>
            </w:r>
          </w:p>
        </w:tc>
      </w:tr>
      <w:tr w14:paraId="24F31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5" w:hRule="atLeast"/>
          <w:jc w:val="center"/>
        </w:trPr>
        <w:tc>
          <w:tcPr>
            <w:tcW w:w="841" w:type="dxa"/>
            <w:tcBorders>
              <w:top w:val="single" w:color="000000" w:sz="4" w:space="0"/>
              <w:left w:val="single" w:color="000000" w:sz="4" w:space="0"/>
              <w:bottom w:val="single" w:color="000000" w:sz="4" w:space="0"/>
              <w:right w:val="single" w:color="000000" w:sz="4" w:space="0"/>
            </w:tcBorders>
            <w:vAlign w:val="center"/>
          </w:tcPr>
          <w:p w14:paraId="3D18351B">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3</w:t>
            </w:r>
          </w:p>
        </w:tc>
        <w:tc>
          <w:tcPr>
            <w:tcW w:w="2091" w:type="dxa"/>
            <w:tcBorders>
              <w:top w:val="single" w:color="000000" w:sz="4" w:space="0"/>
              <w:left w:val="single" w:color="000000" w:sz="4" w:space="0"/>
              <w:bottom w:val="single" w:color="000000" w:sz="4" w:space="0"/>
              <w:right w:val="single" w:color="000000" w:sz="4" w:space="0"/>
            </w:tcBorders>
            <w:vAlign w:val="center"/>
          </w:tcPr>
          <w:p w14:paraId="6E780560">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招标内容</w:t>
            </w:r>
          </w:p>
        </w:tc>
        <w:tc>
          <w:tcPr>
            <w:tcW w:w="6784" w:type="dxa"/>
            <w:tcBorders>
              <w:top w:val="single" w:color="000000" w:sz="4" w:space="0"/>
              <w:left w:val="single" w:color="000000" w:sz="4" w:space="0"/>
              <w:bottom w:val="single" w:color="000000" w:sz="4" w:space="0"/>
              <w:right w:val="single" w:color="000000" w:sz="4" w:space="0"/>
            </w:tcBorders>
            <w:vAlign w:val="center"/>
          </w:tcPr>
          <w:p w14:paraId="6BAE247C">
            <w:pPr>
              <w:widowControl/>
              <w:overflowPunct w:val="0"/>
              <w:adjustRightInd w:val="0"/>
              <w:snapToGrid w:val="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本次招标为美憬阁酒店</w:t>
            </w:r>
            <w:r>
              <w:rPr>
                <w:rFonts w:hint="eastAsia" w:ascii="仿宋_GB2312" w:hAnsi="仿宋_GB2312" w:eastAsia="仿宋_GB2312" w:cs="仿宋_GB2312"/>
                <w:sz w:val="24"/>
                <w:szCs w:val="24"/>
                <w:lang w:val="en-US" w:eastAsia="zh-CN"/>
              </w:rPr>
              <w:t>2026年度月饼</w:t>
            </w:r>
            <w:r>
              <w:rPr>
                <w:rFonts w:hint="eastAsia" w:ascii="仿宋_GB2312" w:hAnsi="仿宋_GB2312" w:eastAsia="仿宋_GB2312" w:cs="仿宋_GB2312"/>
                <w:sz w:val="24"/>
                <w:szCs w:val="24"/>
              </w:rPr>
              <w:t>招标（附件5：招标清单），招标范围包括但不限于：</w:t>
            </w:r>
          </w:p>
          <w:p w14:paraId="6773C560">
            <w:pPr>
              <w:pStyle w:val="2"/>
              <w:ind w:left="0" w:leftChars="0" w:firstLine="0" w:firstLineChars="0"/>
              <w:rPr>
                <w:rFonts w:hint="default"/>
                <w:lang w:val="en-US"/>
              </w:rPr>
            </w:pPr>
            <w:r>
              <w:rPr>
                <w:rFonts w:hint="eastAsia" w:ascii="仿宋_GB2312" w:hAnsi="仿宋_GB2312" w:eastAsia="仿宋_GB2312" w:cs="仿宋_GB2312"/>
                <w:kern w:val="2"/>
                <w:sz w:val="24"/>
                <w:szCs w:val="24"/>
                <w:lang w:val="en-US" w:eastAsia="zh-CN" w:bidi="ar-SA"/>
              </w:rPr>
              <w:t>定制代加工月饼。按酒店确定口味。</w:t>
            </w:r>
          </w:p>
        </w:tc>
      </w:tr>
      <w:tr w14:paraId="74F61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41" w:type="dxa"/>
            <w:tcBorders>
              <w:top w:val="single" w:color="000000" w:sz="4" w:space="0"/>
              <w:left w:val="single" w:color="000000" w:sz="4" w:space="0"/>
              <w:bottom w:val="single" w:color="000000" w:sz="4" w:space="0"/>
              <w:right w:val="single" w:color="000000" w:sz="4" w:space="0"/>
            </w:tcBorders>
            <w:vAlign w:val="center"/>
          </w:tcPr>
          <w:p w14:paraId="727B7C5E">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4</w:t>
            </w:r>
          </w:p>
        </w:tc>
        <w:tc>
          <w:tcPr>
            <w:tcW w:w="2091" w:type="dxa"/>
            <w:tcBorders>
              <w:top w:val="single" w:color="000000" w:sz="4" w:space="0"/>
              <w:left w:val="single" w:color="000000" w:sz="4" w:space="0"/>
              <w:bottom w:val="single" w:color="000000" w:sz="4" w:space="0"/>
              <w:right w:val="single" w:color="000000" w:sz="4" w:space="0"/>
            </w:tcBorders>
            <w:vAlign w:val="center"/>
          </w:tcPr>
          <w:p w14:paraId="5814646D">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投标上限价</w:t>
            </w:r>
          </w:p>
        </w:tc>
        <w:tc>
          <w:tcPr>
            <w:tcW w:w="6784" w:type="dxa"/>
            <w:tcBorders>
              <w:top w:val="single" w:color="000000" w:sz="4" w:space="0"/>
              <w:left w:val="single" w:color="000000" w:sz="4" w:space="0"/>
              <w:bottom w:val="single" w:color="000000" w:sz="4" w:space="0"/>
              <w:right w:val="single" w:color="000000" w:sz="4" w:space="0"/>
            </w:tcBorders>
            <w:vAlign w:val="center"/>
          </w:tcPr>
          <w:p w14:paraId="3288C17F">
            <w:pPr>
              <w:widowControl/>
              <w:overflowPunct w:val="0"/>
              <w:adjustRightInd w:val="0"/>
              <w:snapToGrid w:val="0"/>
              <w:rPr>
                <w:rFonts w:ascii="仿宋_GB2312" w:hAnsi="仿宋_GB2312" w:eastAsia="仿宋_GB2312" w:cs="仿宋_GB2312"/>
                <w:sz w:val="24"/>
                <w:szCs w:val="24"/>
              </w:rPr>
            </w:pPr>
            <w:r>
              <w:rPr>
                <w:rFonts w:hint="eastAsia" w:ascii="仿宋_GB2312" w:hAnsi="仿宋_GB2312" w:eastAsia="仿宋_GB2312" w:cs="仿宋_GB2312"/>
                <w:sz w:val="24"/>
                <w:szCs w:val="24"/>
              </w:rPr>
              <w:t>投标上限价：</w:t>
            </w:r>
            <w:r>
              <w:rPr>
                <w:rFonts w:hint="eastAsia" w:ascii="仿宋_GB2312" w:hAnsi="仿宋_GB2312" w:eastAsia="仿宋_GB2312" w:cs="仿宋_GB2312"/>
                <w:sz w:val="24"/>
                <w:szCs w:val="24"/>
                <w:lang w:val="en-US" w:eastAsia="zh-CN"/>
              </w:rPr>
              <w:t>19.86</w:t>
            </w:r>
            <w:r>
              <w:rPr>
                <w:rFonts w:hint="eastAsia" w:ascii="仿宋_GB2312" w:hAnsi="仿宋_GB2312" w:eastAsia="仿宋_GB2312" w:cs="仿宋_GB2312"/>
                <w:sz w:val="24"/>
                <w:szCs w:val="24"/>
                <w:highlight w:val="none"/>
              </w:rPr>
              <w:t>万元</w:t>
            </w:r>
          </w:p>
        </w:tc>
      </w:tr>
      <w:tr w14:paraId="1251C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41" w:type="dxa"/>
            <w:tcBorders>
              <w:top w:val="single" w:color="000000" w:sz="4" w:space="0"/>
            </w:tcBorders>
            <w:vAlign w:val="center"/>
          </w:tcPr>
          <w:p w14:paraId="59CFB34D">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5</w:t>
            </w:r>
          </w:p>
        </w:tc>
        <w:tc>
          <w:tcPr>
            <w:tcW w:w="2091" w:type="dxa"/>
            <w:tcBorders>
              <w:top w:val="single" w:color="000000" w:sz="4" w:space="0"/>
            </w:tcBorders>
            <w:vAlign w:val="center"/>
          </w:tcPr>
          <w:p w14:paraId="023160A2">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计价方式</w:t>
            </w:r>
          </w:p>
        </w:tc>
        <w:tc>
          <w:tcPr>
            <w:tcW w:w="6784" w:type="dxa"/>
            <w:tcBorders>
              <w:top w:val="single" w:color="000000" w:sz="4" w:space="0"/>
            </w:tcBorders>
            <w:vAlign w:val="center"/>
          </w:tcPr>
          <w:p w14:paraId="4E4737EC">
            <w:pPr>
              <w:widowControl/>
              <w:overflowPunct w:val="0"/>
              <w:adjustRightInd w:val="0"/>
              <w:snapToGrid w:val="0"/>
              <w:rPr>
                <w:rFonts w:ascii="仿宋_GB2312" w:hAnsi="仿宋_GB2312" w:eastAsia="仿宋_GB2312" w:cs="仿宋_GB2312"/>
                <w:sz w:val="24"/>
                <w:szCs w:val="24"/>
              </w:rPr>
            </w:pPr>
            <w:r>
              <w:rPr>
                <w:rFonts w:hint="eastAsia" w:ascii="仿宋_GB2312" w:hAnsi="仿宋_GB2312" w:eastAsia="仿宋_GB2312" w:cs="仿宋_GB2312"/>
                <w:sz w:val="24"/>
                <w:szCs w:val="24"/>
              </w:rPr>
              <w:t>采用固定单价合同，结算时以甲方验收确认的实际数量为准。</w:t>
            </w:r>
          </w:p>
        </w:tc>
      </w:tr>
      <w:tr w14:paraId="0930EC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41" w:type="dxa"/>
            <w:vAlign w:val="center"/>
          </w:tcPr>
          <w:p w14:paraId="5DB7EC77">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6</w:t>
            </w:r>
          </w:p>
        </w:tc>
        <w:tc>
          <w:tcPr>
            <w:tcW w:w="2091" w:type="dxa"/>
            <w:vAlign w:val="center"/>
          </w:tcPr>
          <w:p w14:paraId="455F222D">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工期</w:t>
            </w:r>
          </w:p>
        </w:tc>
        <w:tc>
          <w:tcPr>
            <w:tcW w:w="6784" w:type="dxa"/>
            <w:vAlign w:val="center"/>
          </w:tcPr>
          <w:p w14:paraId="2845726F">
            <w:pPr>
              <w:widowControl/>
              <w:overflowPunct w:val="0"/>
              <w:adjustRightInd w:val="0"/>
              <w:snapToGrid w:val="0"/>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15日历天，按酒店要求分批次到货。</w:t>
            </w:r>
          </w:p>
        </w:tc>
      </w:tr>
      <w:tr w14:paraId="0AB7F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41" w:type="dxa"/>
            <w:vAlign w:val="center"/>
          </w:tcPr>
          <w:p w14:paraId="3327677C">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7</w:t>
            </w:r>
          </w:p>
        </w:tc>
        <w:tc>
          <w:tcPr>
            <w:tcW w:w="2091" w:type="dxa"/>
            <w:vAlign w:val="center"/>
          </w:tcPr>
          <w:p w14:paraId="7D42471E">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招标方式</w:t>
            </w:r>
          </w:p>
        </w:tc>
        <w:tc>
          <w:tcPr>
            <w:tcW w:w="6784" w:type="dxa"/>
            <w:vAlign w:val="center"/>
          </w:tcPr>
          <w:p w14:paraId="5833311E">
            <w:pPr>
              <w:widowControl/>
              <w:overflowPunct w:val="0"/>
              <w:adjustRightInd w:val="0"/>
              <w:snapToGrid w:val="0"/>
              <w:rPr>
                <w:rFonts w:ascii="仿宋_GB2312" w:hAnsi="仿宋_GB2312" w:eastAsia="仿宋_GB2312" w:cs="仿宋_GB2312"/>
                <w:sz w:val="24"/>
                <w:szCs w:val="24"/>
              </w:rPr>
            </w:pPr>
            <w:r>
              <w:rPr>
                <w:rFonts w:hint="eastAsia" w:ascii="仿宋_GB2312" w:hAnsi="仿宋_GB2312" w:eastAsia="仿宋_GB2312" w:cs="仿宋_GB2312"/>
                <w:sz w:val="24"/>
                <w:szCs w:val="24"/>
              </w:rPr>
              <w:t>公开遴选（深圳市龙华建设发展集团有限公司网站、深圳阳光采购平台）</w:t>
            </w:r>
          </w:p>
        </w:tc>
      </w:tr>
      <w:tr w14:paraId="66115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841" w:type="dxa"/>
            <w:vAlign w:val="center"/>
          </w:tcPr>
          <w:p w14:paraId="328BD55A">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8</w:t>
            </w:r>
          </w:p>
        </w:tc>
        <w:tc>
          <w:tcPr>
            <w:tcW w:w="2091" w:type="dxa"/>
            <w:vAlign w:val="center"/>
          </w:tcPr>
          <w:p w14:paraId="2C79B5D3">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资格审查</w:t>
            </w:r>
          </w:p>
          <w:p w14:paraId="1B787905">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方式</w:t>
            </w:r>
          </w:p>
        </w:tc>
        <w:tc>
          <w:tcPr>
            <w:tcW w:w="6784" w:type="dxa"/>
            <w:vAlign w:val="center"/>
          </w:tcPr>
          <w:p w14:paraId="0A068C84">
            <w:pPr>
              <w:widowControl/>
              <w:overflowPunct w:val="0"/>
              <w:adjustRightInd w:val="0"/>
              <w:snapToGrid w:val="0"/>
              <w:rPr>
                <w:rFonts w:ascii="仿宋_GB2312" w:hAnsi="仿宋_GB2312" w:eastAsia="仿宋_GB2312" w:cs="仿宋_GB2312"/>
                <w:sz w:val="24"/>
                <w:szCs w:val="24"/>
              </w:rPr>
            </w:pPr>
            <w:r>
              <w:rPr>
                <w:rFonts w:hint="eastAsia" w:ascii="仿宋_GB2312" w:hAnsi="仿宋_GB2312" w:eastAsia="仿宋_GB2312" w:cs="仿宋_GB2312"/>
                <w:sz w:val="24"/>
                <w:szCs w:val="24"/>
              </w:rPr>
              <w:t>资格后审</w:t>
            </w:r>
          </w:p>
        </w:tc>
      </w:tr>
      <w:tr w14:paraId="242177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6" w:hRule="atLeast"/>
          <w:jc w:val="center"/>
        </w:trPr>
        <w:tc>
          <w:tcPr>
            <w:tcW w:w="841" w:type="dxa"/>
            <w:vAlign w:val="center"/>
          </w:tcPr>
          <w:p w14:paraId="4C74ECBD">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9</w:t>
            </w:r>
          </w:p>
        </w:tc>
        <w:tc>
          <w:tcPr>
            <w:tcW w:w="2091" w:type="dxa"/>
            <w:vAlign w:val="center"/>
          </w:tcPr>
          <w:p w14:paraId="64F701BE">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投标人资格</w:t>
            </w:r>
          </w:p>
          <w:p w14:paraId="68DE4A9C">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要求</w:t>
            </w:r>
          </w:p>
        </w:tc>
        <w:tc>
          <w:tcPr>
            <w:tcW w:w="6784" w:type="dxa"/>
            <w:vAlign w:val="center"/>
          </w:tcPr>
          <w:p w14:paraId="7A161636">
            <w:pPr>
              <w:rPr>
                <w:rFonts w:ascii="仿宋_GB2312" w:hAnsi="仿宋_GB2312" w:eastAsia="仿宋_GB2312" w:cs="仿宋_GB2312"/>
                <w:sz w:val="24"/>
                <w:szCs w:val="24"/>
              </w:rPr>
            </w:pPr>
            <w:r>
              <w:rPr>
                <w:rFonts w:hint="eastAsia" w:ascii="仿宋_GB2312" w:hAnsi="仿宋_GB2312" w:eastAsia="仿宋_GB2312" w:cs="仿宋_GB2312"/>
                <w:sz w:val="24"/>
                <w:szCs w:val="24"/>
              </w:rPr>
              <w:t>投标人需同时满足下列条件：</w:t>
            </w:r>
          </w:p>
          <w:p w14:paraId="4E65FF4B">
            <w:pPr>
              <w:rPr>
                <w:rFonts w:ascii="仿宋_GB2312" w:hAnsi="仿宋_GB2312" w:eastAsia="仿宋_GB2312" w:cs="仿宋_GB2312"/>
                <w:sz w:val="24"/>
                <w:szCs w:val="24"/>
              </w:rPr>
            </w:pPr>
            <w:r>
              <w:rPr>
                <w:rFonts w:hint="eastAsia" w:ascii="仿宋_GB2312" w:hAnsi="仿宋_GB2312" w:eastAsia="仿宋_GB2312" w:cs="仿宋_GB2312"/>
                <w:sz w:val="24"/>
                <w:szCs w:val="24"/>
              </w:rPr>
              <w:t>1.具有独立法人资格或合伙制企业或其他组织资格;</w:t>
            </w:r>
          </w:p>
          <w:p w14:paraId="56BA77CC">
            <w:pPr>
              <w:rPr>
                <w:rFonts w:ascii="仿宋_GB2312" w:hAnsi="仿宋_GB2312" w:eastAsia="仿宋_GB2312" w:cs="仿宋_GB2312"/>
                <w:sz w:val="24"/>
                <w:szCs w:val="24"/>
              </w:rPr>
            </w:pPr>
            <w:r>
              <w:rPr>
                <w:rFonts w:hint="eastAsia" w:ascii="仿宋_GB2312" w:hAnsi="仿宋_GB2312" w:eastAsia="仿宋_GB2312" w:cs="仿宋_GB2312"/>
                <w:sz w:val="24"/>
                <w:szCs w:val="24"/>
              </w:rPr>
              <w:t>2.在</w:t>
            </w:r>
            <w:r>
              <w:rPr>
                <w:rFonts w:hint="eastAsia" w:ascii="仿宋_GB2312" w:hAnsi="仿宋_GB2312" w:eastAsia="仿宋_GB2312" w:cs="仿宋_GB2312"/>
                <w:sz w:val="24"/>
                <w:szCs w:val="24"/>
                <w:lang w:val="en-US" w:eastAsia="zh-CN"/>
              </w:rPr>
              <w:t>国</w:t>
            </w:r>
            <w:r>
              <w:rPr>
                <w:rFonts w:hint="eastAsia" w:ascii="仿宋_GB2312" w:hAnsi="仿宋_GB2312" w:eastAsia="仿宋_GB2312" w:cs="仿宋_GB2312"/>
                <w:sz w:val="24"/>
                <w:szCs w:val="24"/>
              </w:rPr>
              <w:t>内与三家及以上五星级酒店建立合作关系，且近五年内拥有</w:t>
            </w:r>
            <w:r>
              <w:rPr>
                <w:rFonts w:hint="eastAsia" w:ascii="仿宋_GB2312" w:hAnsi="仿宋_GB2312" w:eastAsia="仿宋_GB2312" w:cs="仿宋_GB2312"/>
                <w:sz w:val="24"/>
                <w:szCs w:val="24"/>
                <w:lang w:val="en-US" w:eastAsia="zh-CN"/>
              </w:rPr>
              <w:t>三</w:t>
            </w:r>
            <w:r>
              <w:rPr>
                <w:rFonts w:hint="eastAsia" w:ascii="仿宋_GB2312" w:hAnsi="仿宋_GB2312" w:eastAsia="仿宋_GB2312" w:cs="仿宋_GB2312"/>
                <w:sz w:val="24"/>
                <w:szCs w:val="24"/>
              </w:rPr>
              <w:t>项及以上同类</w:t>
            </w:r>
            <w:r>
              <w:rPr>
                <w:rFonts w:hint="eastAsia" w:ascii="仿宋_GB2312" w:hAnsi="仿宋_GB2312" w:eastAsia="仿宋_GB2312" w:cs="仿宋_GB2312"/>
                <w:sz w:val="24"/>
                <w:szCs w:val="24"/>
                <w:lang w:val="en-US" w:eastAsia="zh-CN"/>
              </w:rPr>
              <w:t>产品</w:t>
            </w:r>
            <w:r>
              <w:rPr>
                <w:rFonts w:hint="eastAsia" w:ascii="仿宋_GB2312" w:hAnsi="仿宋_GB2312" w:eastAsia="仿宋_GB2312" w:cs="仿宋_GB2312"/>
                <w:sz w:val="24"/>
                <w:szCs w:val="24"/>
              </w:rPr>
              <w:t>供应合作案例；</w:t>
            </w:r>
          </w:p>
          <w:p w14:paraId="0C9788E6">
            <w:pPr>
              <w:rPr>
                <w:rFonts w:ascii="仿宋_GB2312" w:hAnsi="仿宋_GB2312" w:eastAsia="仿宋_GB2312" w:cs="仿宋_GB2312"/>
                <w:sz w:val="24"/>
                <w:szCs w:val="24"/>
              </w:rPr>
            </w:pPr>
            <w:r>
              <w:rPr>
                <w:rFonts w:hint="eastAsia" w:ascii="仿宋_GB2312" w:hAnsi="仿宋_GB2312" w:eastAsia="仿宋_GB2312" w:cs="仿宋_GB2312"/>
                <w:sz w:val="24"/>
                <w:szCs w:val="24"/>
              </w:rPr>
              <w:t>3</w:t>
            </w:r>
            <w:r>
              <w:rPr>
                <w:rFonts w:ascii="仿宋_GB2312" w:hAnsi="仿宋_GB2312" w:eastAsia="仿宋_GB2312" w:cs="仿宋_GB2312"/>
                <w:sz w:val="24"/>
                <w:szCs w:val="24"/>
              </w:rPr>
              <w:t>.</w:t>
            </w:r>
            <w:r>
              <w:rPr>
                <w:rFonts w:hint="eastAsia" w:ascii="仿宋_GB2312" w:hAnsi="仿宋_GB2312" w:eastAsia="仿宋_GB2312" w:cs="仿宋_GB2312"/>
                <w:sz w:val="24"/>
                <w:szCs w:val="24"/>
              </w:rPr>
              <w:t>本项目不接受联合体投标。</w:t>
            </w:r>
          </w:p>
        </w:tc>
      </w:tr>
      <w:tr w14:paraId="3CBBF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6" w:hRule="atLeast"/>
          <w:jc w:val="center"/>
        </w:trPr>
        <w:tc>
          <w:tcPr>
            <w:tcW w:w="841" w:type="dxa"/>
            <w:vAlign w:val="center"/>
          </w:tcPr>
          <w:p w14:paraId="10FE567B">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10</w:t>
            </w:r>
          </w:p>
        </w:tc>
        <w:tc>
          <w:tcPr>
            <w:tcW w:w="2091" w:type="dxa"/>
            <w:vAlign w:val="center"/>
          </w:tcPr>
          <w:p w14:paraId="44752D27">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评定标方式</w:t>
            </w:r>
          </w:p>
        </w:tc>
        <w:tc>
          <w:tcPr>
            <w:tcW w:w="6784" w:type="dxa"/>
            <w:vAlign w:val="center"/>
          </w:tcPr>
          <w:p w14:paraId="09714A63">
            <w:pPr>
              <w:rPr>
                <w:rFonts w:ascii="仿宋_GB2312" w:hAnsi="仿宋_GB2312" w:eastAsia="仿宋_GB2312" w:cs="仿宋_GB2312"/>
                <w:sz w:val="24"/>
                <w:szCs w:val="24"/>
              </w:rPr>
            </w:pPr>
            <w:r>
              <w:rPr>
                <w:rFonts w:hint="eastAsia" w:ascii="仿宋_GB2312" w:hAnsi="仿宋_GB2312" w:eastAsia="仿宋_GB2312" w:cs="仿宋_GB2312"/>
                <w:b/>
                <w:bCs/>
                <w:sz w:val="24"/>
                <w:szCs w:val="24"/>
              </w:rPr>
              <w:t>综合评分法</w:t>
            </w:r>
            <w:r>
              <w:rPr>
                <w:rFonts w:hint="eastAsia" w:ascii="仿宋_GB2312" w:hAnsi="仿宋_GB2312" w:eastAsia="仿宋_GB2312" w:cs="仿宋_GB2312"/>
                <w:sz w:val="24"/>
                <w:szCs w:val="24"/>
              </w:rPr>
              <w:t>。综合评分总分第一名的供应商为中标供应商。若综合评分总分出现并列的情况，价格低者优先选择，若价格也相同，则抽签确定中标供应商。</w:t>
            </w:r>
          </w:p>
        </w:tc>
      </w:tr>
      <w:tr w14:paraId="5C68F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841" w:type="dxa"/>
            <w:vAlign w:val="center"/>
          </w:tcPr>
          <w:p w14:paraId="710CEC61">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11</w:t>
            </w:r>
          </w:p>
        </w:tc>
        <w:tc>
          <w:tcPr>
            <w:tcW w:w="2091" w:type="dxa"/>
            <w:vAlign w:val="center"/>
          </w:tcPr>
          <w:p w14:paraId="0AE69CA1">
            <w:pPr>
              <w:widowControl/>
              <w:overflowPunct w:val="0"/>
              <w:adjustRightInd w:val="0"/>
              <w:snapToGrid w:val="0"/>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定标小组</w:t>
            </w:r>
          </w:p>
          <w:p w14:paraId="33F92379">
            <w:pPr>
              <w:widowControl/>
              <w:overflowPunct w:val="0"/>
              <w:adjustRightInd w:val="0"/>
              <w:snapToGrid w:val="0"/>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组建方式</w:t>
            </w:r>
          </w:p>
        </w:tc>
        <w:tc>
          <w:tcPr>
            <w:tcW w:w="6784" w:type="dxa"/>
            <w:vAlign w:val="center"/>
          </w:tcPr>
          <w:p w14:paraId="4AC4A041">
            <w:pP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highlight w:val="none"/>
              </w:rPr>
              <w:t>共5人</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rPr>
              <w:t>由酒店</w:t>
            </w:r>
            <w:r>
              <w:rPr>
                <w:rFonts w:hint="eastAsia" w:ascii="仿宋_GB2312" w:hAnsi="仿宋_GB2312" w:eastAsia="仿宋_GB2312" w:cs="仿宋_GB2312"/>
                <w:color w:val="auto"/>
                <w:sz w:val="24"/>
                <w:szCs w:val="24"/>
                <w:lang w:val="en-US" w:eastAsia="zh-CN"/>
              </w:rPr>
              <w:t>管理办公会委员</w:t>
            </w:r>
            <w:r>
              <w:rPr>
                <w:rFonts w:hint="eastAsia" w:ascii="仿宋_GB2312" w:hAnsi="仿宋_GB2312" w:eastAsia="仿宋_GB2312" w:cs="仿宋_GB2312"/>
                <w:color w:val="auto"/>
                <w:sz w:val="24"/>
                <w:szCs w:val="24"/>
              </w:rPr>
              <w:t>组</w:t>
            </w:r>
            <w:r>
              <w:rPr>
                <w:rFonts w:hint="eastAsia" w:ascii="仿宋_GB2312" w:hAnsi="仿宋_GB2312" w:eastAsia="仿宋_GB2312" w:cs="仿宋_GB2312"/>
                <w:color w:val="auto"/>
                <w:sz w:val="24"/>
                <w:szCs w:val="24"/>
                <w:lang w:val="en-US" w:eastAsia="zh-CN"/>
              </w:rPr>
              <w:t>成</w:t>
            </w:r>
            <w:r>
              <w:rPr>
                <w:rFonts w:hint="eastAsia" w:ascii="仿宋_GB2312" w:hAnsi="仿宋_GB2312" w:eastAsia="仿宋_GB2312" w:cs="仿宋_GB2312"/>
                <w:color w:val="auto"/>
                <w:sz w:val="24"/>
                <w:szCs w:val="24"/>
              </w:rPr>
              <w:t>；</w:t>
            </w:r>
          </w:p>
          <w:p w14:paraId="26D72596">
            <w:pP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分别是</w:t>
            </w:r>
            <w:r>
              <w:rPr>
                <w:rFonts w:hint="eastAsia" w:ascii="仿宋_GB2312" w:hAnsi="仿宋_GB2312" w:eastAsia="仿宋_GB2312" w:cs="仿宋_GB2312"/>
                <w:color w:val="auto"/>
                <w:sz w:val="24"/>
                <w:szCs w:val="24"/>
                <w:lang w:val="en-US" w:eastAsia="zh-CN"/>
              </w:rPr>
              <w:t>马松、周子华、刘晶、梁雅暄、林灶胜。</w:t>
            </w:r>
            <w:bookmarkStart w:id="1" w:name="_GoBack"/>
            <w:bookmarkEnd w:id="1"/>
          </w:p>
        </w:tc>
      </w:tr>
      <w:tr w14:paraId="08C41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jc w:val="center"/>
        </w:trPr>
        <w:tc>
          <w:tcPr>
            <w:tcW w:w="841" w:type="dxa"/>
            <w:vAlign w:val="center"/>
          </w:tcPr>
          <w:p w14:paraId="06C92882">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12</w:t>
            </w:r>
          </w:p>
        </w:tc>
        <w:tc>
          <w:tcPr>
            <w:tcW w:w="2091" w:type="dxa"/>
            <w:vAlign w:val="center"/>
          </w:tcPr>
          <w:p w14:paraId="42621130">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履约保函</w:t>
            </w:r>
          </w:p>
        </w:tc>
        <w:tc>
          <w:tcPr>
            <w:tcW w:w="6784" w:type="dxa"/>
            <w:vAlign w:val="center"/>
          </w:tcPr>
          <w:p w14:paraId="072142C7">
            <w:pPr>
              <w:rPr>
                <w:rFonts w:ascii="仿宋_GB2312" w:hAnsi="仿宋_GB2312" w:eastAsia="仿宋_GB2312" w:cs="仿宋_GB2312"/>
                <w:sz w:val="24"/>
                <w:szCs w:val="24"/>
              </w:rPr>
            </w:pPr>
            <w:r>
              <w:rPr>
                <w:rFonts w:hint="eastAsia" w:ascii="仿宋_GB2312" w:hAnsi="仿宋_GB2312" w:eastAsia="仿宋_GB2312" w:cs="仿宋_GB2312"/>
                <w:sz w:val="24"/>
                <w:szCs w:val="24"/>
              </w:rPr>
              <w:t>无。</w:t>
            </w:r>
          </w:p>
        </w:tc>
      </w:tr>
      <w:tr w14:paraId="39D9A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jc w:val="center"/>
        </w:trPr>
        <w:tc>
          <w:tcPr>
            <w:tcW w:w="841" w:type="dxa"/>
            <w:vAlign w:val="center"/>
          </w:tcPr>
          <w:p w14:paraId="054B2B00">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13</w:t>
            </w:r>
          </w:p>
        </w:tc>
        <w:tc>
          <w:tcPr>
            <w:tcW w:w="2091" w:type="dxa"/>
            <w:vAlign w:val="center"/>
          </w:tcPr>
          <w:p w14:paraId="7A6B2F9B">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合同款支付</w:t>
            </w:r>
          </w:p>
        </w:tc>
        <w:tc>
          <w:tcPr>
            <w:tcW w:w="6784" w:type="dxa"/>
            <w:shd w:val="clear" w:color="auto" w:fill="auto"/>
            <w:vAlign w:val="center"/>
          </w:tcPr>
          <w:p w14:paraId="5E498122">
            <w:pPr>
              <w:pStyle w:val="10"/>
              <w:ind w:left="0" w:firstLine="0"/>
              <w:rPr>
                <w:rFonts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1</w:t>
            </w:r>
            <w:r>
              <w:rPr>
                <w:rFonts w:ascii="仿宋_GB2312" w:hAnsi="仿宋_GB2312" w:eastAsia="仿宋_GB2312" w:cs="仿宋_GB2312"/>
                <w:sz w:val="24"/>
                <w:szCs w:val="24"/>
                <w:lang w:eastAsia="zh-CN"/>
              </w:rPr>
              <w:t>.</w:t>
            </w:r>
            <w:r>
              <w:rPr>
                <w:rFonts w:hint="eastAsia" w:ascii="仿宋_GB2312" w:hAnsi="仿宋_GB2312" w:eastAsia="仿宋_GB2312" w:cs="仿宋_GB2312"/>
                <w:sz w:val="24"/>
                <w:szCs w:val="24"/>
                <w:lang w:eastAsia="zh-CN"/>
              </w:rPr>
              <w:t>签订合同</w:t>
            </w:r>
            <w:r>
              <w:rPr>
                <w:rFonts w:hint="eastAsia" w:ascii="仿宋_GB2312" w:hAnsi="仿宋_GB2312" w:eastAsia="仿宋_GB2312" w:cs="仿宋_GB2312"/>
                <w:sz w:val="24"/>
                <w:szCs w:val="24"/>
                <w:lang w:val="en-US" w:eastAsia="zh-CN"/>
              </w:rPr>
              <w:t>后</w:t>
            </w: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lang w:val="en-US" w:eastAsia="zh-CN"/>
              </w:rPr>
              <w:t>支付合同价2</w:t>
            </w:r>
            <w:r>
              <w:rPr>
                <w:rFonts w:hint="eastAsia" w:ascii="仿宋_GB2312" w:hAnsi="仿宋_GB2312" w:eastAsia="仿宋_GB2312" w:cs="仿宋_GB2312"/>
                <w:sz w:val="24"/>
                <w:szCs w:val="24"/>
                <w:lang w:eastAsia="zh-CN"/>
              </w:rPr>
              <w:t>0%</w:t>
            </w:r>
            <w:r>
              <w:rPr>
                <w:rFonts w:hint="eastAsia" w:ascii="仿宋_GB2312" w:hAnsi="仿宋_GB2312" w:eastAsia="仿宋_GB2312" w:cs="仿宋_GB2312"/>
                <w:sz w:val="24"/>
                <w:szCs w:val="24"/>
                <w:lang w:val="en-US" w:eastAsia="zh-CN"/>
              </w:rPr>
              <w:t>的预付款</w:t>
            </w:r>
            <w:r>
              <w:rPr>
                <w:rFonts w:hint="eastAsia" w:ascii="仿宋_GB2312" w:hAnsi="仿宋_GB2312" w:eastAsia="仿宋_GB2312" w:cs="仿宋_GB2312"/>
                <w:sz w:val="24"/>
                <w:szCs w:val="24"/>
                <w:lang w:eastAsia="zh-CN"/>
              </w:rPr>
              <w:t>；</w:t>
            </w:r>
          </w:p>
          <w:p w14:paraId="37C16DCB">
            <w:pPr>
              <w:pStyle w:val="10"/>
              <w:ind w:left="0" w:firstLine="0"/>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eastAsia="zh-CN"/>
              </w:rPr>
              <w:t>2</w:t>
            </w:r>
            <w:r>
              <w:rPr>
                <w:rFonts w:ascii="仿宋_GB2312" w:hAnsi="仿宋_GB2312" w:eastAsia="仿宋_GB2312" w:cs="仿宋_GB2312"/>
                <w:sz w:val="24"/>
                <w:szCs w:val="24"/>
                <w:lang w:eastAsia="zh-CN"/>
              </w:rPr>
              <w:t>.</w:t>
            </w:r>
            <w:r>
              <w:rPr>
                <w:rFonts w:hint="eastAsia" w:ascii="仿宋_GB2312" w:hAnsi="仿宋_GB2312" w:eastAsia="仿宋_GB2312" w:cs="仿宋_GB2312"/>
                <w:sz w:val="24"/>
                <w:szCs w:val="24"/>
              </w:rPr>
              <w:t>合同清单内所有货到现场</w:t>
            </w: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rPr>
              <w:t>经甲方验收合格后，付至合同</w:t>
            </w:r>
            <w:r>
              <w:rPr>
                <w:rFonts w:hint="eastAsia" w:ascii="仿宋_GB2312" w:hAnsi="仿宋_GB2312" w:eastAsia="仿宋_GB2312" w:cs="仿宋_GB2312"/>
                <w:sz w:val="24"/>
                <w:szCs w:val="24"/>
                <w:lang w:val="en-US" w:eastAsia="zh-CN"/>
              </w:rPr>
              <w:t>价的</w:t>
            </w:r>
            <w:r>
              <w:rPr>
                <w:rFonts w:hint="eastAsia" w:ascii="仿宋_GB2312" w:hAnsi="仿宋_GB2312" w:eastAsia="仿宋_GB2312" w:cs="仿宋_GB2312"/>
                <w:sz w:val="24"/>
                <w:szCs w:val="24"/>
              </w:rPr>
              <w:t>95%；</w:t>
            </w:r>
          </w:p>
          <w:p w14:paraId="6F068D81">
            <w:pPr>
              <w:rPr>
                <w:rFonts w:hint="default" w:ascii="Calibri" w:hAnsi="Calibri" w:eastAsia="仿宋_GB2312" w:cs="Times New Roman"/>
                <w:kern w:val="2"/>
                <w:sz w:val="21"/>
                <w:szCs w:val="22"/>
                <w:lang w:val="en-US" w:eastAsia="zh-CN" w:bidi="ar-SA"/>
              </w:rPr>
            </w:pPr>
            <w:r>
              <w:rPr>
                <w:rFonts w:hint="eastAsia" w:ascii="仿宋_GB2312" w:hAnsi="仿宋_GB2312" w:eastAsia="仿宋_GB2312" w:cs="仿宋_GB2312"/>
                <w:kern w:val="0"/>
                <w:sz w:val="24"/>
                <w:szCs w:val="24"/>
                <w:lang w:val="en-US" w:eastAsia="zh-CN" w:bidi="ar-SA"/>
              </w:rPr>
              <w:t>3.质保金为合同价的5%，质保期满后，甲方在按合同约定扣除质保期内应由乙方支付的各类款项和违约金后，向乙方无息支付。</w:t>
            </w:r>
          </w:p>
        </w:tc>
      </w:tr>
      <w:tr w14:paraId="74DF8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41" w:type="dxa"/>
            <w:vAlign w:val="center"/>
          </w:tcPr>
          <w:p w14:paraId="44E6D675">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14</w:t>
            </w:r>
          </w:p>
        </w:tc>
        <w:tc>
          <w:tcPr>
            <w:tcW w:w="2091" w:type="dxa"/>
            <w:vAlign w:val="center"/>
          </w:tcPr>
          <w:p w14:paraId="0353130F">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评标细则</w:t>
            </w:r>
          </w:p>
        </w:tc>
        <w:tc>
          <w:tcPr>
            <w:tcW w:w="6784" w:type="dxa"/>
            <w:vAlign w:val="center"/>
          </w:tcPr>
          <w:p w14:paraId="0616077F">
            <w:pPr>
              <w:widowControl/>
              <w:overflowPunct w:val="0"/>
              <w:adjustRightInd w:val="0"/>
              <w:snapToGrid w:val="0"/>
              <w:rPr>
                <w:rFonts w:ascii="仿宋_GB2312" w:hAnsi="仿宋_GB2312" w:eastAsia="仿宋_GB2312" w:cs="仿宋_GB2312"/>
                <w:sz w:val="24"/>
                <w:szCs w:val="24"/>
              </w:rPr>
            </w:pPr>
            <w:r>
              <w:rPr>
                <w:rFonts w:hint="eastAsia" w:ascii="仿宋_GB2312" w:hAnsi="仿宋_GB2312" w:eastAsia="仿宋_GB2312" w:cs="仿宋_GB2312"/>
                <w:sz w:val="24"/>
                <w:szCs w:val="24"/>
              </w:rPr>
              <w:t>详见下表（评分细则）。</w:t>
            </w:r>
          </w:p>
        </w:tc>
      </w:tr>
      <w:tr w14:paraId="03AB4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41" w:type="dxa"/>
            <w:vAlign w:val="center"/>
          </w:tcPr>
          <w:p w14:paraId="0BFCF16D">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15</w:t>
            </w:r>
          </w:p>
        </w:tc>
        <w:tc>
          <w:tcPr>
            <w:tcW w:w="2091" w:type="dxa"/>
            <w:vAlign w:val="center"/>
          </w:tcPr>
          <w:p w14:paraId="45195491">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其他</w:t>
            </w:r>
          </w:p>
        </w:tc>
        <w:tc>
          <w:tcPr>
            <w:tcW w:w="6784" w:type="dxa"/>
            <w:vAlign w:val="center"/>
          </w:tcPr>
          <w:p w14:paraId="6C8F1AF4">
            <w:pPr>
              <w:widowControl/>
              <w:overflowPunct w:val="0"/>
              <w:adjustRightInd w:val="0"/>
              <w:snapToGrid w:val="0"/>
              <w:jc w:val="both"/>
              <w:rPr>
                <w:rFonts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符合国家食品安全及国家相关月饼食品标准要求。</w:t>
            </w:r>
          </w:p>
        </w:tc>
      </w:tr>
    </w:tbl>
    <w:p w14:paraId="7315F953">
      <w:pPr>
        <w:overflowPunct w:val="0"/>
        <w:adjustRightInd w:val="0"/>
        <w:snapToGrid w:val="0"/>
        <w:rPr>
          <w:rFonts w:ascii="仿宋_GB2312" w:hAnsi="仿宋_GB2312" w:eastAsia="仿宋_GB2312" w:cs="仿宋_GB2312"/>
          <w:b/>
          <w:bCs/>
          <w:sz w:val="40"/>
          <w:szCs w:val="40"/>
        </w:rPr>
      </w:pPr>
    </w:p>
    <w:p w14:paraId="6499BBA9">
      <w:pPr>
        <w:pStyle w:val="2"/>
        <w:rPr>
          <w:rFonts w:ascii="仿宋_GB2312" w:hAnsi="仿宋_GB2312" w:eastAsia="仿宋_GB2312" w:cs="仿宋_GB2312"/>
          <w:b/>
          <w:bCs/>
          <w:sz w:val="40"/>
          <w:szCs w:val="40"/>
        </w:rPr>
      </w:pPr>
    </w:p>
    <w:p w14:paraId="540AE93C">
      <w:pPr>
        <w:rPr>
          <w:rFonts w:ascii="仿宋_GB2312" w:hAnsi="仿宋_GB2312" w:eastAsia="仿宋_GB2312" w:cs="仿宋_GB2312"/>
          <w:b/>
          <w:bCs/>
          <w:sz w:val="40"/>
          <w:szCs w:val="40"/>
        </w:rPr>
      </w:pPr>
    </w:p>
    <w:p w14:paraId="67919637">
      <w:pPr>
        <w:pStyle w:val="2"/>
        <w:rPr>
          <w:rFonts w:ascii="仿宋_GB2312" w:hAnsi="仿宋_GB2312" w:eastAsia="仿宋_GB2312" w:cs="仿宋_GB2312"/>
          <w:b/>
          <w:bCs/>
          <w:sz w:val="40"/>
          <w:szCs w:val="40"/>
        </w:rPr>
      </w:pPr>
    </w:p>
    <w:p w14:paraId="2E7EA583">
      <w:pPr>
        <w:rPr>
          <w:rFonts w:ascii="仿宋_GB2312" w:hAnsi="仿宋_GB2312" w:eastAsia="仿宋_GB2312" w:cs="仿宋_GB2312"/>
          <w:b/>
          <w:bCs/>
          <w:sz w:val="40"/>
          <w:szCs w:val="40"/>
        </w:rPr>
      </w:pPr>
    </w:p>
    <w:p w14:paraId="03E97B26">
      <w:pPr>
        <w:pStyle w:val="2"/>
        <w:rPr>
          <w:rFonts w:ascii="仿宋_GB2312" w:hAnsi="仿宋_GB2312" w:eastAsia="仿宋_GB2312" w:cs="仿宋_GB2312"/>
          <w:b/>
          <w:bCs/>
          <w:sz w:val="40"/>
          <w:szCs w:val="40"/>
        </w:rPr>
      </w:pPr>
    </w:p>
    <w:p w14:paraId="5D186562">
      <w:pPr>
        <w:rPr>
          <w:rFonts w:ascii="仿宋_GB2312" w:hAnsi="仿宋_GB2312" w:eastAsia="仿宋_GB2312" w:cs="仿宋_GB2312"/>
          <w:b/>
          <w:bCs/>
          <w:sz w:val="40"/>
          <w:szCs w:val="40"/>
        </w:rPr>
      </w:pPr>
    </w:p>
    <w:p w14:paraId="6EC3B38F">
      <w:pPr>
        <w:pStyle w:val="2"/>
        <w:rPr>
          <w:rFonts w:ascii="仿宋_GB2312" w:hAnsi="仿宋_GB2312" w:eastAsia="仿宋_GB2312" w:cs="仿宋_GB2312"/>
          <w:b/>
          <w:bCs/>
          <w:sz w:val="40"/>
          <w:szCs w:val="40"/>
        </w:rPr>
      </w:pPr>
    </w:p>
    <w:p w14:paraId="0AF10672">
      <w:pPr>
        <w:rPr>
          <w:rFonts w:ascii="仿宋_GB2312" w:hAnsi="仿宋_GB2312" w:eastAsia="仿宋_GB2312" w:cs="仿宋_GB2312"/>
          <w:b/>
          <w:bCs/>
          <w:sz w:val="40"/>
          <w:szCs w:val="40"/>
        </w:rPr>
      </w:pPr>
    </w:p>
    <w:p w14:paraId="2CA84455">
      <w:pPr>
        <w:pStyle w:val="2"/>
        <w:rPr>
          <w:rFonts w:ascii="仿宋_GB2312" w:hAnsi="仿宋_GB2312" w:eastAsia="仿宋_GB2312" w:cs="仿宋_GB2312"/>
          <w:b/>
          <w:bCs/>
          <w:sz w:val="40"/>
          <w:szCs w:val="40"/>
        </w:rPr>
      </w:pPr>
    </w:p>
    <w:p w14:paraId="583965DD">
      <w:pPr>
        <w:rPr>
          <w:rFonts w:ascii="仿宋_GB2312" w:hAnsi="仿宋_GB2312" w:eastAsia="仿宋_GB2312" w:cs="仿宋_GB2312"/>
          <w:b/>
          <w:bCs/>
          <w:sz w:val="40"/>
          <w:szCs w:val="40"/>
        </w:rPr>
      </w:pPr>
    </w:p>
    <w:p w14:paraId="0494B837">
      <w:pPr>
        <w:pStyle w:val="2"/>
        <w:rPr>
          <w:rFonts w:ascii="仿宋_GB2312" w:hAnsi="仿宋_GB2312" w:eastAsia="仿宋_GB2312" w:cs="仿宋_GB2312"/>
          <w:b/>
          <w:bCs/>
          <w:sz w:val="40"/>
          <w:szCs w:val="40"/>
        </w:rPr>
      </w:pPr>
    </w:p>
    <w:p w14:paraId="5A9D712E"/>
    <w:p w14:paraId="2B533C3B">
      <w:pPr>
        <w:pStyle w:val="49"/>
        <w:rPr>
          <w:rFonts w:ascii="仿宋_GB2312" w:hAnsi="仿宋_GB2312" w:eastAsia="仿宋_GB2312" w:cs="仿宋_GB2312"/>
          <w:b/>
          <w:bCs/>
          <w:sz w:val="40"/>
          <w:szCs w:val="40"/>
        </w:rPr>
      </w:pPr>
    </w:p>
    <w:tbl>
      <w:tblPr>
        <w:tblStyle w:val="17"/>
        <w:tblW w:w="0" w:type="auto"/>
        <w:tblInd w:w="0" w:type="dxa"/>
        <w:tblLayout w:type="fixed"/>
        <w:tblCellMar>
          <w:top w:w="0" w:type="dxa"/>
          <w:left w:w="0" w:type="dxa"/>
          <w:bottom w:w="0" w:type="dxa"/>
          <w:right w:w="0" w:type="dxa"/>
        </w:tblCellMar>
      </w:tblPr>
      <w:tblGrid>
        <w:gridCol w:w="607"/>
        <w:gridCol w:w="1057"/>
        <w:gridCol w:w="934"/>
        <w:gridCol w:w="7084"/>
      </w:tblGrid>
      <w:tr w14:paraId="2831C797">
        <w:tblPrEx>
          <w:tblCellMar>
            <w:top w:w="0" w:type="dxa"/>
            <w:left w:w="0" w:type="dxa"/>
            <w:bottom w:w="0" w:type="dxa"/>
            <w:right w:w="0" w:type="dxa"/>
          </w:tblCellMar>
        </w:tblPrEx>
        <w:trPr>
          <w:trHeight w:val="0" w:hRule="atLeast"/>
          <w:tblHeader/>
        </w:trPr>
        <w:tc>
          <w:tcPr>
            <w:tcW w:w="9682" w:type="dxa"/>
            <w:gridSpan w:val="4"/>
            <w:tcBorders>
              <w:top w:val="nil"/>
              <w:left w:val="nil"/>
              <w:bottom w:val="single" w:color="000000" w:sz="4" w:space="0"/>
              <w:right w:val="nil"/>
            </w:tcBorders>
            <w:tcMar>
              <w:left w:w="108" w:type="dxa"/>
              <w:right w:w="108" w:type="dxa"/>
            </w:tcMar>
            <w:vAlign w:val="center"/>
          </w:tcPr>
          <w:p w14:paraId="747784E2">
            <w:pPr>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b/>
                <w:bCs/>
                <w:sz w:val="40"/>
                <w:szCs w:val="40"/>
              </w:rPr>
              <w:t>综合评分法评标细则</w:t>
            </w:r>
          </w:p>
        </w:tc>
      </w:tr>
      <w:tr w14:paraId="77D1A698">
        <w:tblPrEx>
          <w:tblCellMar>
            <w:top w:w="0" w:type="dxa"/>
            <w:left w:w="0" w:type="dxa"/>
            <w:bottom w:w="0" w:type="dxa"/>
            <w:right w:w="0" w:type="dxa"/>
          </w:tblCellMar>
        </w:tblPrEx>
        <w:trPr>
          <w:trHeight w:val="0" w:hRule="atLeast"/>
          <w:tblHeader/>
        </w:trPr>
        <w:tc>
          <w:tcPr>
            <w:tcW w:w="607" w:type="dxa"/>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14:paraId="18C2BE81">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序号</w:t>
            </w:r>
          </w:p>
        </w:tc>
        <w:tc>
          <w:tcPr>
            <w:tcW w:w="1057" w:type="dxa"/>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14:paraId="02131BC1">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评分内容</w:t>
            </w:r>
          </w:p>
        </w:tc>
        <w:tc>
          <w:tcPr>
            <w:tcW w:w="934" w:type="dxa"/>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14:paraId="321C7A21">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分值/权重</w:t>
            </w:r>
          </w:p>
        </w:tc>
        <w:tc>
          <w:tcPr>
            <w:tcW w:w="7084" w:type="dxa"/>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14:paraId="0986149E">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评分细则</w:t>
            </w:r>
          </w:p>
        </w:tc>
      </w:tr>
      <w:tr w14:paraId="36D29FEB">
        <w:tblPrEx>
          <w:tblCellMar>
            <w:top w:w="0" w:type="dxa"/>
            <w:left w:w="0" w:type="dxa"/>
            <w:bottom w:w="0" w:type="dxa"/>
            <w:right w:w="0" w:type="dxa"/>
          </w:tblCellMar>
        </w:tblPrEx>
        <w:trPr>
          <w:trHeight w:val="0" w:hRule="atLeast"/>
          <w:tblHeader/>
        </w:trPr>
        <w:tc>
          <w:tcPr>
            <w:tcW w:w="607" w:type="dxa"/>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14:paraId="40F11413">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1</w:t>
            </w:r>
          </w:p>
        </w:tc>
        <w:tc>
          <w:tcPr>
            <w:tcW w:w="1057" w:type="dxa"/>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14:paraId="7B9BE44E">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商务报价</w:t>
            </w:r>
          </w:p>
        </w:tc>
        <w:tc>
          <w:tcPr>
            <w:tcW w:w="934" w:type="dxa"/>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14:paraId="26928883">
            <w:pPr>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30</w:t>
            </w:r>
          </w:p>
        </w:tc>
        <w:tc>
          <w:tcPr>
            <w:tcW w:w="7084" w:type="dxa"/>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14:paraId="3A16F053">
            <w:pPr>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商务标得分=[C/投标报价]×价格权重（</w:t>
            </w:r>
            <w:r>
              <w:rPr>
                <w:rFonts w:hint="eastAsia" w:ascii="仿宋_GB2312" w:hAnsi="仿宋_GB2312" w:eastAsia="仿宋_GB2312" w:cs="仿宋_GB2312"/>
                <w:sz w:val="24"/>
                <w:szCs w:val="24"/>
                <w:highlight w:val="none"/>
                <w:lang w:val="en-US" w:eastAsia="zh-CN"/>
              </w:rPr>
              <w:t>3</w:t>
            </w:r>
            <w:r>
              <w:rPr>
                <w:rFonts w:hint="eastAsia" w:ascii="仿宋_GB2312" w:hAnsi="仿宋_GB2312" w:eastAsia="仿宋_GB2312" w:cs="仿宋_GB2312"/>
                <w:sz w:val="24"/>
                <w:szCs w:val="24"/>
                <w:highlight w:val="none"/>
              </w:rPr>
              <w:t>0%）×100</w:t>
            </w:r>
          </w:p>
          <w:p w14:paraId="344C9BDF">
            <w:pPr>
              <w:jc w:val="left"/>
              <w:rPr>
                <w:rFonts w:ascii="仿宋_GB2312" w:hAnsi="仿宋_GB2312" w:eastAsia="仿宋_GB2312" w:cs="仿宋_GB2312"/>
                <w:sz w:val="24"/>
                <w:szCs w:val="24"/>
              </w:rPr>
            </w:pPr>
            <w:r>
              <w:rPr>
                <w:rFonts w:hint="eastAsia" w:ascii="仿宋_GB2312" w:hAnsi="仿宋_GB2312" w:eastAsia="仿宋_GB2312" w:cs="仿宋_GB2312"/>
                <w:sz w:val="24"/>
                <w:szCs w:val="24"/>
                <w:highlight w:val="none"/>
              </w:rPr>
              <w:t>C---即所有通过资格性检查和符合性检查的有效投标报价中的最低值。</w:t>
            </w:r>
          </w:p>
        </w:tc>
      </w:tr>
      <w:tr w14:paraId="42E354FA">
        <w:tblPrEx>
          <w:tblCellMar>
            <w:top w:w="0" w:type="dxa"/>
            <w:left w:w="0" w:type="dxa"/>
            <w:bottom w:w="0" w:type="dxa"/>
            <w:right w:w="0" w:type="dxa"/>
          </w:tblCellMar>
        </w:tblPrEx>
        <w:trPr>
          <w:trHeight w:val="0" w:hRule="atLeast"/>
          <w:tblHeader/>
        </w:trPr>
        <w:tc>
          <w:tcPr>
            <w:tcW w:w="607" w:type="dxa"/>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14:paraId="494DDACE">
            <w:pPr>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2</w:t>
            </w:r>
          </w:p>
        </w:tc>
        <w:tc>
          <w:tcPr>
            <w:tcW w:w="1057" w:type="dxa"/>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14:paraId="241A6FA7">
            <w:pPr>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同类</w:t>
            </w:r>
          </w:p>
          <w:p w14:paraId="424A5141">
            <w:pPr>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业绩</w:t>
            </w:r>
          </w:p>
        </w:tc>
        <w:tc>
          <w:tcPr>
            <w:tcW w:w="934" w:type="dxa"/>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14:paraId="381C12C4">
            <w:pPr>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2</w:t>
            </w:r>
            <w:r>
              <w:rPr>
                <w:rFonts w:hint="eastAsia" w:ascii="仿宋_GB2312" w:hAnsi="仿宋_GB2312" w:eastAsia="仿宋_GB2312" w:cs="仿宋_GB2312"/>
                <w:sz w:val="24"/>
                <w:szCs w:val="24"/>
              </w:rPr>
              <w:t>0</w:t>
            </w:r>
          </w:p>
        </w:tc>
        <w:tc>
          <w:tcPr>
            <w:tcW w:w="7084" w:type="dxa"/>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14:paraId="2808AF1D">
            <w:pPr>
              <w:overflowPunct w:val="0"/>
              <w:adjustRightInd w:val="0"/>
              <w:snapToGrid w:val="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根据投标人近5年（自投标截止之日起倒推，以合同签订时间为准）在国内承接的五星级酒店的</w:t>
            </w:r>
            <w:r>
              <w:rPr>
                <w:rFonts w:hint="eastAsia" w:ascii="仿宋_GB2312" w:hAnsi="仿宋_GB2312" w:eastAsia="仿宋_GB2312" w:cs="仿宋_GB2312"/>
                <w:sz w:val="24"/>
                <w:szCs w:val="24"/>
                <w:lang w:val="en-US" w:eastAsia="zh-CN"/>
              </w:rPr>
              <w:t>月饼</w:t>
            </w:r>
            <w:r>
              <w:rPr>
                <w:rFonts w:hint="eastAsia" w:ascii="仿宋_GB2312" w:hAnsi="仿宋_GB2312" w:eastAsia="仿宋_GB2312" w:cs="仿宋_GB2312"/>
                <w:sz w:val="24"/>
                <w:szCs w:val="24"/>
              </w:rPr>
              <w:t>业绩合同，进行评分：</w:t>
            </w:r>
          </w:p>
          <w:p w14:paraId="31BF2294">
            <w:pPr>
              <w:overflowPunct w:val="0"/>
              <w:adjustRightInd w:val="0"/>
              <w:snapToGrid w:val="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单项合同金额大于本项目招标控制价1/2的</w:t>
            </w:r>
            <w:r>
              <w:rPr>
                <w:rFonts w:hint="eastAsia" w:ascii="仿宋_GB2312" w:hAnsi="仿宋_GB2312" w:eastAsia="仿宋_GB2312" w:cs="仿宋_GB2312"/>
                <w:sz w:val="24"/>
                <w:szCs w:val="24"/>
                <w:lang w:eastAsia="zh-CN"/>
              </w:rPr>
              <w:t>有效</w:t>
            </w:r>
            <w:r>
              <w:rPr>
                <w:rFonts w:hint="eastAsia" w:ascii="仿宋_GB2312" w:hAnsi="仿宋_GB2312" w:eastAsia="仿宋_GB2312" w:cs="仿宋_GB2312"/>
                <w:sz w:val="24"/>
                <w:szCs w:val="24"/>
                <w:lang w:val="en-US" w:eastAsia="zh-CN"/>
              </w:rPr>
              <w:t>五星级酒店月饼</w:t>
            </w:r>
            <w:r>
              <w:rPr>
                <w:rFonts w:hint="eastAsia" w:ascii="仿宋_GB2312" w:hAnsi="仿宋_GB2312" w:eastAsia="仿宋_GB2312" w:cs="仿宋_GB2312"/>
                <w:sz w:val="24"/>
                <w:szCs w:val="24"/>
              </w:rPr>
              <w:t>业绩，</w:t>
            </w:r>
            <w:r>
              <w:rPr>
                <w:rFonts w:hint="eastAsia" w:ascii="仿宋_GB2312" w:hAnsi="仿宋_GB2312" w:eastAsia="仿宋_GB2312" w:cs="仿宋_GB2312"/>
                <w:sz w:val="24"/>
                <w:szCs w:val="24"/>
                <w:lang w:eastAsia="zh-CN"/>
              </w:rPr>
              <w:t>业绩需提供4项，超过4项只取列表前4项。每提供一项满足要求的业绩得</w:t>
            </w:r>
            <w:r>
              <w:rPr>
                <w:rFonts w:hint="eastAsia" w:ascii="仿宋_GB2312" w:hAnsi="仿宋_GB2312" w:eastAsia="仿宋_GB2312" w:cs="仿宋_GB2312"/>
                <w:sz w:val="24"/>
                <w:szCs w:val="24"/>
                <w:lang w:val="en-US" w:eastAsia="zh-CN"/>
              </w:rPr>
              <w:t>5</w:t>
            </w:r>
            <w:r>
              <w:rPr>
                <w:rFonts w:hint="eastAsia" w:ascii="仿宋_GB2312" w:hAnsi="仿宋_GB2312" w:eastAsia="仿宋_GB2312" w:cs="仿宋_GB2312"/>
                <w:sz w:val="24"/>
                <w:szCs w:val="24"/>
                <w:lang w:eastAsia="zh-CN"/>
              </w:rPr>
              <w:t>分，合计最高得</w:t>
            </w:r>
            <w:r>
              <w:rPr>
                <w:rFonts w:hint="eastAsia" w:ascii="仿宋_GB2312" w:hAnsi="仿宋_GB2312" w:eastAsia="仿宋_GB2312" w:cs="仿宋_GB2312"/>
                <w:sz w:val="24"/>
                <w:szCs w:val="24"/>
                <w:lang w:val="en-US" w:eastAsia="zh-CN"/>
              </w:rPr>
              <w:t>2</w:t>
            </w:r>
            <w:r>
              <w:rPr>
                <w:rFonts w:hint="eastAsia" w:ascii="仿宋_GB2312" w:hAnsi="仿宋_GB2312" w:eastAsia="仿宋_GB2312" w:cs="仿宋_GB2312"/>
                <w:sz w:val="24"/>
                <w:szCs w:val="24"/>
                <w:lang w:eastAsia="zh-CN"/>
              </w:rPr>
              <w:t>0分。</w:t>
            </w:r>
          </w:p>
          <w:p w14:paraId="6F069367">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注：①提供</w:t>
            </w:r>
            <w:r>
              <w:rPr>
                <w:rFonts w:hint="eastAsia" w:ascii="仿宋_GB2312" w:hAnsi="仿宋_GB2312" w:eastAsia="仿宋_GB2312" w:cs="仿宋_GB2312"/>
                <w:sz w:val="24"/>
                <w:szCs w:val="24"/>
                <w:highlight w:val="none"/>
                <w:lang w:val="en-US" w:eastAsia="zh-CN"/>
              </w:rPr>
              <w:t>的业绩</w:t>
            </w:r>
            <w:r>
              <w:rPr>
                <w:rFonts w:hint="eastAsia" w:ascii="仿宋_GB2312" w:hAnsi="仿宋_GB2312" w:eastAsia="仿宋_GB2312" w:cs="仿宋_GB2312"/>
                <w:sz w:val="24"/>
                <w:szCs w:val="24"/>
                <w:highlight w:val="none"/>
              </w:rPr>
              <w:t>合同内容中须体现</w:t>
            </w:r>
            <w:r>
              <w:rPr>
                <w:rFonts w:hint="eastAsia" w:ascii="仿宋_GB2312" w:hAnsi="仿宋_GB2312" w:eastAsia="仿宋_GB2312" w:cs="仿宋_GB2312"/>
                <w:sz w:val="24"/>
                <w:szCs w:val="24"/>
                <w:lang w:val="en-US" w:eastAsia="zh-CN"/>
              </w:rPr>
              <w:t>月饼</w:t>
            </w:r>
            <w:r>
              <w:rPr>
                <w:rFonts w:hint="eastAsia" w:ascii="仿宋_GB2312" w:hAnsi="仿宋_GB2312" w:eastAsia="仿宋_GB2312" w:cs="仿宋_GB2312"/>
                <w:sz w:val="24"/>
                <w:szCs w:val="24"/>
                <w:highlight w:val="none"/>
              </w:rPr>
              <w:t>相关的任一相同或类似字眼，不能体现的需在合同货物清单中标注出同类货物或提供甲方出具的其他资料进行佐证。</w:t>
            </w:r>
          </w:p>
          <w:p w14:paraId="5F7658C9">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firstLine="480" w:firstLineChars="20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②提供</w:t>
            </w:r>
            <w:r>
              <w:rPr>
                <w:rFonts w:hint="eastAsia" w:ascii="仿宋_GB2312" w:hAnsi="仿宋_GB2312" w:eastAsia="仿宋_GB2312" w:cs="仿宋_GB2312"/>
                <w:sz w:val="24"/>
                <w:szCs w:val="24"/>
                <w:lang w:val="en-US" w:eastAsia="zh-CN"/>
              </w:rPr>
              <w:t>五星级酒店</w:t>
            </w:r>
            <w:r>
              <w:rPr>
                <w:rFonts w:hint="eastAsia" w:ascii="仿宋_GB2312" w:hAnsi="仿宋_GB2312" w:eastAsia="仿宋_GB2312" w:cs="仿宋_GB2312"/>
                <w:sz w:val="24"/>
                <w:szCs w:val="24"/>
                <w:highlight w:val="none"/>
              </w:rPr>
              <w:t>项目</w:t>
            </w:r>
            <w:r>
              <w:rPr>
                <w:rFonts w:hint="eastAsia" w:ascii="仿宋_GB2312" w:hAnsi="仿宋_GB2312" w:eastAsia="仿宋_GB2312" w:cs="仿宋_GB2312"/>
                <w:sz w:val="24"/>
                <w:szCs w:val="24"/>
                <w:lang w:val="en-US" w:eastAsia="zh-CN"/>
              </w:rPr>
              <w:t>月饼</w:t>
            </w:r>
            <w:r>
              <w:rPr>
                <w:rFonts w:hint="eastAsia" w:ascii="仿宋_GB2312" w:hAnsi="仿宋_GB2312" w:eastAsia="仿宋_GB2312" w:cs="仿宋_GB2312"/>
                <w:sz w:val="24"/>
                <w:szCs w:val="24"/>
                <w:highlight w:val="none"/>
              </w:rPr>
              <w:t>业绩合同扫描件，须体现合同主体、合同范围、合同金额、合同盖章等关键页。</w:t>
            </w:r>
          </w:p>
          <w:p w14:paraId="0439A223">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firstLine="480" w:firstLineChars="200"/>
              <w:jc w:val="lef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highlight w:val="none"/>
              </w:rPr>
              <w:t>③每份合同只计算一次，未提供、显示模糊或资料不符合要求的不得分。评标委员会有权对投标人提供的资料真实性进行核查</w:t>
            </w:r>
            <w:r>
              <w:rPr>
                <w:rFonts w:ascii="仿宋_GB2312" w:hAnsi="仿宋_GB2312" w:eastAsia="仿宋_GB2312" w:cs="仿宋_GB2312"/>
                <w:sz w:val="24"/>
                <w:szCs w:val="24"/>
              </w:rPr>
              <w:t>。</w:t>
            </w:r>
          </w:p>
          <w:p w14:paraId="4F7F4CF4">
            <w:pPr>
              <w:overflowPunct w:val="0"/>
              <w:adjustRightInd w:val="0"/>
              <w:snapToGrid w:val="0"/>
              <w:rPr>
                <w:rFonts w:ascii="仿宋_GB2312" w:hAnsi="仿宋_GB2312" w:eastAsia="仿宋_GB2312" w:cs="仿宋_GB2312"/>
                <w:sz w:val="24"/>
                <w:szCs w:val="24"/>
              </w:rPr>
            </w:pPr>
            <w:r>
              <w:rPr>
                <w:rFonts w:hint="eastAsia" w:ascii="仿宋_GB2312" w:hAnsi="仿宋_GB2312" w:eastAsia="仿宋_GB2312" w:cs="仿宋_GB2312"/>
                <w:sz w:val="24"/>
                <w:szCs w:val="24"/>
              </w:rPr>
              <w:t>招标人认可的五星酒店品牌包括：</w:t>
            </w:r>
          </w:p>
          <w:p w14:paraId="61B80F65">
            <w:pPr>
              <w:overflowPunct w:val="0"/>
              <w:adjustRightInd w:val="0"/>
              <w:snapToGrid w:val="0"/>
              <w:ind w:left="210" w:leftChars="100"/>
              <w:rPr>
                <w:rFonts w:ascii="仿宋_GB2312" w:hAnsi="仿宋_GB2312" w:eastAsia="仿宋_GB2312" w:cs="仿宋_GB2312"/>
                <w:sz w:val="24"/>
                <w:szCs w:val="24"/>
              </w:rPr>
            </w:pPr>
            <w:r>
              <w:rPr>
                <w:rFonts w:hint="eastAsia" w:ascii="仿宋_GB2312" w:hAnsi="仿宋_GB2312" w:eastAsia="仿宋_GB2312" w:cs="仿宋_GB2312"/>
                <w:sz w:val="24"/>
                <w:szCs w:val="24"/>
              </w:rPr>
              <w:t>a、洲际酒店集团：洲际、英迪格、华邑、皇冠假日、金普顿；</w:t>
            </w:r>
          </w:p>
          <w:p w14:paraId="6D337EF7">
            <w:pPr>
              <w:overflowPunct w:val="0"/>
              <w:adjustRightInd w:val="0"/>
              <w:snapToGrid w:val="0"/>
              <w:ind w:left="210" w:leftChars="100"/>
              <w:rPr>
                <w:rFonts w:ascii="仿宋_GB2312" w:hAnsi="仿宋_GB2312" w:eastAsia="仿宋_GB2312" w:cs="仿宋_GB2312"/>
                <w:sz w:val="24"/>
                <w:szCs w:val="24"/>
              </w:rPr>
            </w:pPr>
            <w:r>
              <w:rPr>
                <w:rFonts w:hint="eastAsia" w:ascii="仿宋_GB2312" w:hAnsi="仿宋_GB2312" w:eastAsia="仿宋_GB2312" w:cs="仿宋_GB2312"/>
                <w:sz w:val="24"/>
                <w:szCs w:val="24"/>
              </w:rPr>
              <w:t>b、万豪国际集团：万豪、JW 万豪、丽思-卡尔顿, 威斯汀、W、豪华精选、瑞吉、艾美、喜来登、宝格丽；</w:t>
            </w:r>
          </w:p>
          <w:p w14:paraId="6B9AAB6F">
            <w:pPr>
              <w:overflowPunct w:val="0"/>
              <w:adjustRightInd w:val="0"/>
              <w:snapToGrid w:val="0"/>
              <w:ind w:left="210" w:leftChars="100"/>
              <w:rPr>
                <w:rFonts w:ascii="仿宋_GB2312" w:hAnsi="仿宋_GB2312" w:eastAsia="仿宋_GB2312" w:cs="仿宋_GB2312"/>
                <w:sz w:val="24"/>
                <w:szCs w:val="24"/>
              </w:rPr>
            </w:pPr>
            <w:r>
              <w:rPr>
                <w:rFonts w:hint="eastAsia" w:ascii="仿宋_GB2312" w:hAnsi="仿宋_GB2312" w:eastAsia="仿宋_GB2312" w:cs="仿宋_GB2312"/>
                <w:sz w:val="24"/>
                <w:szCs w:val="24"/>
              </w:rPr>
              <w:t>c、凯悦集团：凯悦、君悦、柏悦、安达仕；</w:t>
            </w:r>
          </w:p>
          <w:p w14:paraId="27AFBC22">
            <w:pPr>
              <w:overflowPunct w:val="0"/>
              <w:adjustRightInd w:val="0"/>
              <w:snapToGrid w:val="0"/>
              <w:ind w:left="210" w:leftChars="100"/>
              <w:rPr>
                <w:rFonts w:ascii="仿宋_GB2312" w:hAnsi="仿宋_GB2312" w:eastAsia="仿宋_GB2312" w:cs="仿宋_GB2312"/>
                <w:sz w:val="24"/>
                <w:szCs w:val="24"/>
              </w:rPr>
            </w:pPr>
            <w:r>
              <w:rPr>
                <w:rFonts w:hint="eastAsia" w:ascii="仿宋_GB2312" w:hAnsi="仿宋_GB2312" w:eastAsia="仿宋_GB2312" w:cs="仿宋_GB2312"/>
                <w:sz w:val="24"/>
                <w:szCs w:val="24"/>
              </w:rPr>
              <w:t>d、希尔顿：Hilton、康莱德、华尔道夫、嘉悦里；</w:t>
            </w:r>
          </w:p>
          <w:p w14:paraId="1BD1331B">
            <w:pPr>
              <w:overflowPunct w:val="0"/>
              <w:adjustRightInd w:val="0"/>
              <w:snapToGrid w:val="0"/>
              <w:ind w:left="210" w:leftChars="100"/>
              <w:rPr>
                <w:rFonts w:ascii="仿宋_GB2312" w:hAnsi="仿宋_GB2312" w:eastAsia="仿宋_GB2312" w:cs="仿宋_GB2312"/>
                <w:sz w:val="24"/>
                <w:szCs w:val="24"/>
              </w:rPr>
            </w:pPr>
            <w:r>
              <w:rPr>
                <w:rFonts w:hint="eastAsia" w:ascii="仿宋_GB2312" w:hAnsi="仿宋_GB2312" w:eastAsia="仿宋_GB2312" w:cs="仿宋_GB2312"/>
                <w:sz w:val="24"/>
                <w:szCs w:val="24"/>
              </w:rPr>
              <w:t>e、雅高：索菲特、费尔蒙、莱佛士、美憬阁；</w:t>
            </w:r>
          </w:p>
          <w:p w14:paraId="43A2429D">
            <w:pPr>
              <w:overflowPunct w:val="0"/>
              <w:adjustRightInd w:val="0"/>
              <w:snapToGrid w:val="0"/>
              <w:ind w:left="210" w:leftChars="100"/>
              <w:rPr>
                <w:rFonts w:ascii="仿宋_GB2312" w:hAnsi="仿宋_GB2312" w:eastAsia="仿宋_GB2312" w:cs="仿宋_GB2312"/>
                <w:sz w:val="24"/>
                <w:szCs w:val="24"/>
              </w:rPr>
            </w:pPr>
            <w:r>
              <w:rPr>
                <w:rFonts w:hint="eastAsia" w:ascii="仿宋_GB2312" w:hAnsi="仿宋_GB2312" w:eastAsia="仿宋_GB2312" w:cs="仿宋_GB2312"/>
                <w:sz w:val="24"/>
                <w:szCs w:val="24"/>
              </w:rPr>
              <w:t>f、悦榕：悦榕庄、悦椿；</w:t>
            </w:r>
          </w:p>
          <w:p w14:paraId="42E25687">
            <w:pPr>
              <w:overflowPunct w:val="0"/>
              <w:adjustRightInd w:val="0"/>
              <w:snapToGrid w:val="0"/>
              <w:ind w:left="210" w:leftChars="100"/>
              <w:rPr>
                <w:rFonts w:ascii="仿宋_GB2312" w:hAnsi="仿宋_GB2312" w:eastAsia="仿宋_GB2312" w:cs="仿宋_GB2312"/>
                <w:sz w:val="24"/>
                <w:szCs w:val="24"/>
              </w:rPr>
            </w:pPr>
            <w:r>
              <w:rPr>
                <w:rFonts w:hint="eastAsia" w:ascii="仿宋_GB2312" w:hAnsi="仿宋_GB2312" w:eastAsia="仿宋_GB2312" w:cs="仿宋_GB2312"/>
                <w:sz w:val="24"/>
                <w:szCs w:val="24"/>
              </w:rPr>
              <w:t>g、朗廷酒店集团：朗廷、朗豪；</w:t>
            </w:r>
          </w:p>
          <w:p w14:paraId="001E5C8D">
            <w:pPr>
              <w:overflowPunct w:val="0"/>
              <w:adjustRightInd w:val="0"/>
              <w:snapToGrid w:val="0"/>
              <w:ind w:left="210" w:leftChars="100"/>
              <w:rPr>
                <w:rFonts w:ascii="仿宋_GB2312" w:hAnsi="仿宋_GB2312" w:eastAsia="仿宋_GB2312" w:cs="仿宋_GB2312"/>
                <w:sz w:val="24"/>
                <w:szCs w:val="24"/>
              </w:rPr>
            </w:pPr>
            <w:r>
              <w:rPr>
                <w:rFonts w:hint="eastAsia" w:ascii="仿宋_GB2312" w:hAnsi="仿宋_GB2312" w:eastAsia="仿宋_GB2312" w:cs="仿宋_GB2312"/>
                <w:sz w:val="24"/>
                <w:szCs w:val="24"/>
              </w:rPr>
              <w:t>h、卡尔森环球酒店：丽晶、丽笙；</w:t>
            </w:r>
          </w:p>
          <w:p w14:paraId="27D14918">
            <w:pPr>
              <w:overflowPunct w:val="0"/>
              <w:adjustRightInd w:val="0"/>
              <w:snapToGrid w:val="0"/>
              <w:ind w:left="210" w:leftChars="100"/>
              <w:rPr>
                <w:rFonts w:ascii="仿宋_GB2312" w:hAnsi="仿宋_GB2312" w:eastAsia="仿宋_GB2312" w:cs="仿宋_GB2312"/>
                <w:sz w:val="24"/>
                <w:szCs w:val="24"/>
              </w:rPr>
            </w:pPr>
            <w:r>
              <w:rPr>
                <w:rFonts w:hint="eastAsia" w:ascii="仿宋_GB2312" w:hAnsi="仿宋_GB2312" w:eastAsia="仿宋_GB2312" w:cs="仿宋_GB2312"/>
                <w:sz w:val="24"/>
                <w:szCs w:val="24"/>
              </w:rPr>
              <w:t>i、美利亚酒店集团：盛美利亚、美利亚；</w:t>
            </w:r>
          </w:p>
          <w:p w14:paraId="22EDD638">
            <w:pPr>
              <w:overflowPunct w:val="0"/>
              <w:adjustRightInd w:val="0"/>
              <w:snapToGrid w:val="0"/>
              <w:ind w:left="210" w:leftChars="100"/>
              <w:rPr>
                <w:rFonts w:ascii="仿宋_GB2312" w:hAnsi="仿宋_GB2312" w:eastAsia="仿宋_GB2312" w:cs="仿宋_GB2312"/>
                <w:sz w:val="24"/>
                <w:szCs w:val="24"/>
              </w:rPr>
            </w:pPr>
            <w:r>
              <w:rPr>
                <w:rFonts w:hint="eastAsia" w:ascii="仿宋_GB2312" w:hAnsi="仿宋_GB2312" w:eastAsia="仿宋_GB2312" w:cs="仿宋_GB2312"/>
                <w:sz w:val="24"/>
                <w:szCs w:val="24"/>
              </w:rPr>
              <w:t>j、温德姆集团：温德姆至尊；</w:t>
            </w:r>
          </w:p>
          <w:p w14:paraId="193FE28F">
            <w:pPr>
              <w:overflowPunct w:val="0"/>
              <w:adjustRightInd w:val="0"/>
              <w:snapToGrid w:val="0"/>
              <w:ind w:left="210" w:leftChars="100"/>
              <w:rPr>
                <w:rFonts w:ascii="仿宋_GB2312" w:hAnsi="仿宋_GB2312" w:eastAsia="仿宋_GB2312" w:cs="仿宋_GB2312"/>
                <w:sz w:val="24"/>
                <w:szCs w:val="24"/>
              </w:rPr>
            </w:pPr>
            <w:r>
              <w:rPr>
                <w:rFonts w:hint="eastAsia" w:ascii="仿宋_GB2312" w:hAnsi="仿宋_GB2312" w:eastAsia="仿宋_GB2312" w:cs="仿宋_GB2312"/>
                <w:sz w:val="24"/>
                <w:szCs w:val="24"/>
              </w:rPr>
              <w:t>k、独立酒店品牌：四季、香格里拉、凯宾斯基、安缦、文华东方、雅辰、半岛、君璞、瑰丽、美高梅、铂尔曼。</w:t>
            </w:r>
          </w:p>
        </w:tc>
      </w:tr>
      <w:tr w14:paraId="32FD71AA">
        <w:tblPrEx>
          <w:tblCellMar>
            <w:top w:w="0" w:type="dxa"/>
            <w:left w:w="0" w:type="dxa"/>
            <w:bottom w:w="0" w:type="dxa"/>
            <w:right w:w="0" w:type="dxa"/>
          </w:tblCellMar>
        </w:tblPrEx>
        <w:trPr>
          <w:trHeight w:val="0" w:hRule="atLeast"/>
          <w:tblHeader/>
        </w:trPr>
        <w:tc>
          <w:tcPr>
            <w:tcW w:w="607" w:type="dxa"/>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14:paraId="263FCA2C">
            <w:pPr>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3</w:t>
            </w:r>
          </w:p>
        </w:tc>
        <w:tc>
          <w:tcPr>
            <w:tcW w:w="1057" w:type="dxa"/>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14:paraId="2B96291E">
            <w:pPr>
              <w:overflowPunct w:val="0"/>
              <w:adjustRightInd w:val="0"/>
              <w:snapToGrid w:val="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体系</w:t>
            </w:r>
          </w:p>
          <w:p w14:paraId="38A9423D">
            <w:pPr>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认证</w:t>
            </w:r>
          </w:p>
        </w:tc>
        <w:tc>
          <w:tcPr>
            <w:tcW w:w="934" w:type="dxa"/>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14:paraId="268861E0">
            <w:pPr>
              <w:overflowPunct w:val="0"/>
              <w:adjustRightInd w:val="0"/>
              <w:snapToGrid w:val="0"/>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10</w:t>
            </w:r>
          </w:p>
        </w:tc>
        <w:tc>
          <w:tcPr>
            <w:tcW w:w="7084" w:type="dxa"/>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14:paraId="0876C8B9">
            <w:pPr>
              <w:pStyle w:val="48"/>
              <w:tabs>
                <w:tab w:val="left" w:pos="1701"/>
              </w:tabs>
              <w:spacing w:line="360" w:lineRule="exact"/>
              <w:ind w:firstLine="0" w:firstLineChars="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rPr>
              <w:t>评审内容：</w:t>
            </w:r>
          </w:p>
          <w:p w14:paraId="79340C4A">
            <w:pPr>
              <w:pStyle w:val="10"/>
              <w:keepNext w:val="0"/>
              <w:keepLines w:val="0"/>
              <w:pageBreakBefore w:val="0"/>
              <w:widowControl w:val="0"/>
              <w:suppressLineNumbers w:val="0"/>
              <w:kinsoku/>
              <w:wordWrap/>
              <w:topLinePunct w:val="0"/>
              <w:autoSpaceDE/>
              <w:autoSpaceDN/>
              <w:bidi w:val="0"/>
              <w:spacing w:before="0" w:beforeAutospacing="0" w:after="0" w:afterAutospacing="0"/>
              <w:ind w:left="0" w:leftChars="0" w:righ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根据投标人的</w:t>
            </w:r>
            <w:r>
              <w:rPr>
                <w:rFonts w:hint="eastAsia" w:ascii="仿宋_GB2312" w:hAnsi="仿宋_GB2312" w:eastAsia="仿宋_GB2312" w:cs="仿宋_GB2312"/>
                <w:sz w:val="24"/>
                <w:szCs w:val="24"/>
                <w:highlight w:val="none"/>
                <w:lang w:val="en-US" w:eastAsia="zh-CN"/>
              </w:rPr>
              <w:t>体系</w:t>
            </w:r>
            <w:r>
              <w:rPr>
                <w:rFonts w:hint="eastAsia" w:ascii="仿宋_GB2312" w:hAnsi="仿宋_GB2312" w:eastAsia="仿宋_GB2312" w:cs="仿宋_GB2312"/>
                <w:sz w:val="24"/>
                <w:szCs w:val="24"/>
                <w:highlight w:val="none"/>
              </w:rPr>
              <w:t>认证进行评分（合计最高得</w:t>
            </w:r>
            <w:r>
              <w:rPr>
                <w:rFonts w:hint="eastAsia" w:ascii="仿宋_GB2312" w:hAnsi="仿宋_GB2312" w:eastAsia="仿宋_GB2312" w:cs="仿宋_GB2312"/>
                <w:sz w:val="24"/>
                <w:szCs w:val="24"/>
                <w:highlight w:val="none"/>
                <w:lang w:val="en-US" w:eastAsia="zh-CN"/>
              </w:rPr>
              <w:t>10</w:t>
            </w:r>
            <w:r>
              <w:rPr>
                <w:rFonts w:hint="eastAsia" w:ascii="仿宋_GB2312" w:hAnsi="仿宋_GB2312" w:eastAsia="仿宋_GB2312" w:cs="仿宋_GB2312"/>
                <w:sz w:val="24"/>
                <w:szCs w:val="24"/>
                <w:highlight w:val="none"/>
              </w:rPr>
              <w:t>分）：</w:t>
            </w:r>
          </w:p>
          <w:p w14:paraId="331F6F7C">
            <w:pPr>
              <w:pStyle w:val="10"/>
              <w:keepNext w:val="0"/>
              <w:keepLines w:val="0"/>
              <w:pageBreakBefore w:val="0"/>
              <w:widowControl w:val="0"/>
              <w:suppressLineNumbers w:val="0"/>
              <w:kinsoku/>
              <w:wordWrap/>
              <w:topLinePunct w:val="0"/>
              <w:autoSpaceDE/>
              <w:autoSpaceDN/>
              <w:bidi w:val="0"/>
              <w:spacing w:before="0" w:beforeAutospacing="0" w:after="0" w:afterAutospacing="0"/>
              <w:ind w:left="0" w:leftChars="0" w:righ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val="en-US" w:eastAsia="zh-CN"/>
              </w:rPr>
              <w:t>1.</w:t>
            </w:r>
            <w:r>
              <w:rPr>
                <w:rFonts w:hint="eastAsia" w:ascii="仿宋_GB2312" w:hAnsi="仿宋_GB2312" w:eastAsia="仿宋_GB2312" w:cs="仿宋_GB2312"/>
                <w:sz w:val="24"/>
                <w:szCs w:val="24"/>
                <w:highlight w:val="none"/>
              </w:rPr>
              <w:t>“质量管理体系认证证书”认证范围包含“</w:t>
            </w:r>
            <w:r>
              <w:rPr>
                <w:rFonts w:hint="eastAsia" w:ascii="仿宋_GB2312" w:hAnsi="仿宋_GB2312" w:eastAsia="仿宋_GB2312" w:cs="仿宋_GB2312"/>
                <w:sz w:val="24"/>
                <w:szCs w:val="24"/>
                <w:highlight w:val="none"/>
                <w:lang w:val="en-US" w:eastAsia="zh-CN"/>
              </w:rPr>
              <w:t>月饼相关内容</w:t>
            </w:r>
            <w:r>
              <w:rPr>
                <w:rFonts w:hint="eastAsia" w:ascii="仿宋_GB2312" w:hAnsi="仿宋_GB2312" w:eastAsia="仿宋_GB2312" w:cs="仿宋_GB2312"/>
                <w:sz w:val="24"/>
                <w:szCs w:val="24"/>
                <w:highlight w:val="none"/>
              </w:rPr>
              <w:t>”；</w:t>
            </w:r>
          </w:p>
          <w:p w14:paraId="4D9212E7">
            <w:pPr>
              <w:pStyle w:val="10"/>
              <w:keepNext w:val="0"/>
              <w:keepLines w:val="0"/>
              <w:pageBreakBefore w:val="0"/>
              <w:widowControl w:val="0"/>
              <w:suppressLineNumbers w:val="0"/>
              <w:kinsoku/>
              <w:wordWrap/>
              <w:topLinePunct w:val="0"/>
              <w:autoSpaceDE/>
              <w:autoSpaceDN/>
              <w:bidi w:val="0"/>
              <w:spacing w:before="0" w:beforeAutospacing="0" w:after="0" w:afterAutospacing="0"/>
              <w:ind w:left="0" w:leftChars="0" w:righ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val="en-US" w:eastAsia="zh-CN"/>
              </w:rPr>
              <w:t>2.</w:t>
            </w:r>
            <w:r>
              <w:rPr>
                <w:rFonts w:hint="eastAsia" w:ascii="仿宋_GB2312" w:hAnsi="仿宋_GB2312" w:eastAsia="仿宋_GB2312" w:cs="仿宋_GB2312"/>
                <w:sz w:val="24"/>
                <w:szCs w:val="24"/>
                <w:highlight w:val="none"/>
              </w:rPr>
              <w:t>“环境管理体系认证证书”认证范围包含“</w:t>
            </w:r>
            <w:r>
              <w:rPr>
                <w:rFonts w:hint="eastAsia" w:ascii="仿宋_GB2312" w:hAnsi="仿宋_GB2312" w:eastAsia="仿宋_GB2312" w:cs="仿宋_GB2312"/>
                <w:sz w:val="24"/>
                <w:szCs w:val="24"/>
                <w:highlight w:val="none"/>
                <w:lang w:val="en-US" w:eastAsia="zh-CN"/>
              </w:rPr>
              <w:t>月饼相关内容</w:t>
            </w:r>
            <w:r>
              <w:rPr>
                <w:rFonts w:hint="eastAsia" w:ascii="仿宋_GB2312" w:hAnsi="仿宋_GB2312" w:eastAsia="仿宋_GB2312" w:cs="仿宋_GB2312"/>
                <w:sz w:val="24"/>
                <w:szCs w:val="24"/>
                <w:highlight w:val="none"/>
              </w:rPr>
              <w:t>”；</w:t>
            </w:r>
          </w:p>
          <w:p w14:paraId="6D27864B">
            <w:pPr>
              <w:pStyle w:val="10"/>
              <w:keepNext w:val="0"/>
              <w:keepLines w:val="0"/>
              <w:pageBreakBefore w:val="0"/>
              <w:widowControl w:val="0"/>
              <w:suppressLineNumbers w:val="0"/>
              <w:kinsoku/>
              <w:wordWrap/>
              <w:topLinePunct w:val="0"/>
              <w:autoSpaceDE/>
              <w:autoSpaceDN/>
              <w:bidi w:val="0"/>
              <w:spacing w:before="0" w:beforeAutospacing="0" w:after="0" w:afterAutospacing="0"/>
              <w:ind w:left="0" w:leftChars="0" w:righ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val="en-US" w:eastAsia="zh-CN"/>
              </w:rPr>
              <w:t>3.</w:t>
            </w:r>
            <w:r>
              <w:rPr>
                <w:rFonts w:hint="eastAsia" w:ascii="仿宋_GB2312" w:hAnsi="仿宋_GB2312" w:eastAsia="仿宋_GB2312" w:cs="仿宋_GB2312"/>
                <w:sz w:val="24"/>
                <w:szCs w:val="24"/>
                <w:highlight w:val="none"/>
              </w:rPr>
              <w:t>“职业健康安全管理体系认证证书”认证范围包含“</w:t>
            </w:r>
            <w:r>
              <w:rPr>
                <w:rFonts w:hint="eastAsia" w:ascii="仿宋_GB2312" w:hAnsi="仿宋_GB2312" w:eastAsia="仿宋_GB2312" w:cs="仿宋_GB2312"/>
                <w:sz w:val="24"/>
                <w:szCs w:val="24"/>
                <w:highlight w:val="none"/>
                <w:lang w:val="en-US" w:eastAsia="zh-CN"/>
              </w:rPr>
              <w:t>月饼相关内容</w:t>
            </w:r>
            <w:r>
              <w:rPr>
                <w:rFonts w:hint="eastAsia" w:ascii="仿宋_GB2312" w:hAnsi="仿宋_GB2312" w:eastAsia="仿宋_GB2312" w:cs="仿宋_GB2312"/>
                <w:sz w:val="24"/>
                <w:szCs w:val="24"/>
                <w:highlight w:val="none"/>
              </w:rPr>
              <w:t>”；</w:t>
            </w:r>
          </w:p>
          <w:p w14:paraId="202C272A">
            <w:pPr>
              <w:pStyle w:val="10"/>
              <w:keepNext w:val="0"/>
              <w:keepLines w:val="0"/>
              <w:pageBreakBefore w:val="0"/>
              <w:widowControl w:val="0"/>
              <w:suppressLineNumbers w:val="0"/>
              <w:kinsoku/>
              <w:wordWrap/>
              <w:topLinePunct w:val="0"/>
              <w:autoSpaceDE/>
              <w:autoSpaceDN/>
              <w:bidi w:val="0"/>
              <w:spacing w:before="0" w:beforeAutospacing="0" w:after="0" w:afterAutospacing="0"/>
              <w:ind w:left="0" w:leftChars="0" w:righ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val="en-US" w:eastAsia="zh-CN"/>
              </w:rPr>
              <w:t>4.</w:t>
            </w:r>
            <w:r>
              <w:rPr>
                <w:rFonts w:hint="eastAsia" w:ascii="仿宋_GB2312" w:hAnsi="仿宋_GB2312" w:eastAsia="仿宋_GB2312" w:cs="仿宋_GB2312"/>
                <w:sz w:val="24"/>
                <w:szCs w:val="24"/>
                <w:highlight w:val="none"/>
              </w:rPr>
              <w:t>“</w:t>
            </w:r>
            <w:r>
              <w:rPr>
                <w:rFonts w:hint="eastAsia" w:ascii="仿宋_GB2312" w:hAnsi="仿宋_GB2312" w:eastAsia="仿宋_GB2312" w:cs="仿宋_GB2312"/>
                <w:sz w:val="24"/>
                <w:szCs w:val="24"/>
                <w:highlight w:val="none"/>
                <w:lang w:val="en-US" w:eastAsia="zh-CN"/>
              </w:rPr>
              <w:t>食品安全</w:t>
            </w:r>
            <w:r>
              <w:rPr>
                <w:rFonts w:hint="eastAsia" w:ascii="仿宋_GB2312" w:hAnsi="仿宋_GB2312" w:eastAsia="仿宋_GB2312" w:cs="仿宋_GB2312"/>
                <w:sz w:val="24"/>
                <w:szCs w:val="24"/>
                <w:highlight w:val="none"/>
              </w:rPr>
              <w:t>管理体系认证证书”认证范围包含“</w:t>
            </w:r>
            <w:r>
              <w:rPr>
                <w:rFonts w:hint="eastAsia" w:ascii="仿宋_GB2312" w:hAnsi="仿宋_GB2312" w:eastAsia="仿宋_GB2312" w:cs="仿宋_GB2312"/>
                <w:sz w:val="24"/>
                <w:szCs w:val="24"/>
                <w:highlight w:val="none"/>
                <w:lang w:val="en-US" w:eastAsia="zh-CN"/>
              </w:rPr>
              <w:t>月饼相关内容</w:t>
            </w:r>
            <w:r>
              <w:rPr>
                <w:rFonts w:hint="eastAsia" w:ascii="仿宋_GB2312" w:hAnsi="仿宋_GB2312" w:eastAsia="仿宋_GB2312" w:cs="仿宋_GB2312"/>
                <w:sz w:val="24"/>
                <w:szCs w:val="24"/>
                <w:highlight w:val="none"/>
              </w:rPr>
              <w:t>”；</w:t>
            </w:r>
          </w:p>
          <w:p w14:paraId="10EA2CCC">
            <w:pPr>
              <w:rPr>
                <w:rFonts w:hint="eastAsia" w:eastAsia="仿宋_GB2312"/>
                <w:lang w:val="en-US" w:eastAsia="zh-CN"/>
              </w:rPr>
            </w:pPr>
            <w:r>
              <w:rPr>
                <w:rFonts w:hint="eastAsia" w:ascii="仿宋_GB2312" w:hAnsi="仿宋_GB2312" w:eastAsia="仿宋_GB2312" w:cs="仿宋_GB2312"/>
                <w:sz w:val="24"/>
                <w:szCs w:val="24"/>
                <w:highlight w:val="none"/>
                <w:lang w:val="en-US" w:eastAsia="zh-CN"/>
              </w:rPr>
              <w:t>5.</w:t>
            </w:r>
            <w:r>
              <w:rPr>
                <w:rFonts w:hint="eastAsia" w:ascii="仿宋_GB2312" w:hAnsi="仿宋_GB2312" w:eastAsia="仿宋_GB2312" w:cs="仿宋_GB2312"/>
                <w:sz w:val="24"/>
                <w:szCs w:val="24"/>
                <w:highlight w:val="none"/>
              </w:rPr>
              <w:t>“</w:t>
            </w:r>
            <w:r>
              <w:rPr>
                <w:rFonts w:hint="eastAsia" w:ascii="仿宋_GB2312" w:hAnsi="仿宋_GB2312" w:eastAsia="仿宋_GB2312" w:cs="仿宋_GB2312"/>
                <w:sz w:val="24"/>
                <w:szCs w:val="24"/>
                <w:highlight w:val="none"/>
                <w:lang w:val="en-US" w:eastAsia="zh-CN"/>
              </w:rPr>
              <w:t>HACCP体系认证证书</w:t>
            </w:r>
            <w:r>
              <w:rPr>
                <w:rFonts w:hint="eastAsia" w:ascii="仿宋_GB2312" w:hAnsi="仿宋_GB2312" w:eastAsia="仿宋_GB2312" w:cs="仿宋_GB2312"/>
                <w:sz w:val="24"/>
                <w:szCs w:val="24"/>
                <w:highlight w:val="none"/>
              </w:rPr>
              <w:t>”认证范围包含“</w:t>
            </w:r>
            <w:r>
              <w:rPr>
                <w:rFonts w:hint="eastAsia" w:ascii="仿宋_GB2312" w:hAnsi="仿宋_GB2312" w:eastAsia="仿宋_GB2312" w:cs="仿宋_GB2312"/>
                <w:sz w:val="24"/>
                <w:szCs w:val="24"/>
                <w:highlight w:val="none"/>
                <w:lang w:val="en-US" w:eastAsia="zh-CN"/>
              </w:rPr>
              <w:t>月饼相关内容</w:t>
            </w:r>
            <w:r>
              <w:rPr>
                <w:rFonts w:hint="eastAsia" w:ascii="仿宋_GB2312" w:hAnsi="仿宋_GB2312" w:eastAsia="仿宋_GB2312" w:cs="仿宋_GB2312"/>
                <w:sz w:val="24"/>
                <w:szCs w:val="24"/>
                <w:highlight w:val="none"/>
              </w:rPr>
              <w:t>”；</w:t>
            </w:r>
          </w:p>
          <w:p w14:paraId="79900C32">
            <w:pPr>
              <w:overflowPunct w:val="0"/>
              <w:adjustRightInd w:val="0"/>
              <w:snapToGrid w:val="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以上事项，每满足1项得</w:t>
            </w:r>
            <w:r>
              <w:rPr>
                <w:rFonts w:hint="eastAsia" w:ascii="仿宋_GB2312" w:hAnsi="仿宋_GB2312" w:eastAsia="仿宋_GB2312" w:cs="仿宋_GB2312"/>
                <w:sz w:val="24"/>
                <w:szCs w:val="24"/>
                <w:highlight w:val="none"/>
                <w:lang w:val="en-US" w:eastAsia="zh-CN"/>
              </w:rPr>
              <w:t>2</w:t>
            </w:r>
            <w:r>
              <w:rPr>
                <w:rFonts w:hint="eastAsia" w:ascii="仿宋_GB2312" w:hAnsi="仿宋_GB2312" w:eastAsia="仿宋_GB2312" w:cs="仿宋_GB2312"/>
                <w:sz w:val="24"/>
                <w:szCs w:val="24"/>
                <w:highlight w:val="none"/>
              </w:rPr>
              <w:t>分，合计最高得</w:t>
            </w:r>
            <w:r>
              <w:rPr>
                <w:rFonts w:hint="eastAsia" w:ascii="仿宋_GB2312" w:hAnsi="仿宋_GB2312" w:eastAsia="仿宋_GB2312" w:cs="仿宋_GB2312"/>
                <w:sz w:val="24"/>
                <w:szCs w:val="24"/>
                <w:highlight w:val="none"/>
                <w:lang w:val="en-US" w:eastAsia="zh-CN"/>
              </w:rPr>
              <w:t>10</w:t>
            </w:r>
            <w:r>
              <w:rPr>
                <w:rFonts w:hint="eastAsia" w:ascii="仿宋_GB2312" w:hAnsi="仿宋_GB2312" w:eastAsia="仿宋_GB2312" w:cs="仿宋_GB2312"/>
                <w:sz w:val="24"/>
                <w:szCs w:val="24"/>
                <w:highlight w:val="none"/>
              </w:rPr>
              <w:t>分。</w:t>
            </w:r>
          </w:p>
          <w:p w14:paraId="4074FB3E">
            <w:pPr>
              <w:pStyle w:val="10"/>
              <w:keepNext w:val="0"/>
              <w:keepLines w:val="0"/>
              <w:pageBreakBefore w:val="0"/>
              <w:widowControl w:val="0"/>
              <w:suppressLineNumbers w:val="0"/>
              <w:kinsoku/>
              <w:wordWrap/>
              <w:topLinePunct w:val="0"/>
              <w:autoSpaceDE/>
              <w:autoSpaceDN/>
              <w:bidi w:val="0"/>
              <w:spacing w:before="0" w:beforeAutospacing="0" w:after="0" w:afterAutospacing="0"/>
              <w:ind w:left="0" w:leftChars="0" w:right="0" w:firstLine="0" w:firstLineChars="0"/>
              <w:jc w:val="left"/>
              <w:textAlignment w:val="auto"/>
              <w:rPr>
                <w:rFonts w:hint="default" w:ascii="仿宋_GB2312" w:hAnsi="仿宋_GB2312" w:eastAsia="仿宋_GB2312" w:cs="仿宋_GB2312"/>
                <w:sz w:val="24"/>
                <w:szCs w:val="24"/>
                <w:lang w:val="en-US"/>
              </w:rPr>
            </w:pPr>
            <w:r>
              <w:rPr>
                <w:rFonts w:hint="eastAsia" w:ascii="仿宋_GB2312" w:hAnsi="仿宋_GB2312" w:eastAsia="仿宋_GB2312" w:cs="仿宋_GB2312"/>
                <w:sz w:val="24"/>
                <w:szCs w:val="24"/>
                <w:highlight w:val="none"/>
                <w:lang w:val="en-US" w:eastAsia="zh-CN"/>
              </w:rPr>
              <w:t>投标人</w:t>
            </w:r>
            <w:r>
              <w:rPr>
                <w:rFonts w:hint="eastAsia" w:ascii="仿宋_GB2312" w:hAnsi="仿宋_GB2312" w:eastAsia="仿宋_GB2312" w:cs="仿宋_GB2312"/>
                <w:sz w:val="24"/>
                <w:szCs w:val="24"/>
                <w:highlight w:val="none"/>
              </w:rPr>
              <w:t>提供有效期内的体系认证证书扫描件</w:t>
            </w:r>
            <w:r>
              <w:rPr>
                <w:rFonts w:hint="default" w:ascii="仿宋_GB2312" w:hAnsi="仿宋_GB2312" w:eastAsia="仿宋_GB2312" w:cs="仿宋_GB2312"/>
                <w:sz w:val="24"/>
                <w:szCs w:val="24"/>
                <w:highlight w:val="none"/>
              </w:rPr>
              <w:t>并加盖投标人公章</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lang w:val="en-US" w:eastAsia="zh-CN"/>
              </w:rPr>
              <w:t>原件备查。</w:t>
            </w:r>
          </w:p>
        </w:tc>
      </w:tr>
      <w:tr w14:paraId="6B5979A2">
        <w:tblPrEx>
          <w:tblCellMar>
            <w:top w:w="0" w:type="dxa"/>
            <w:left w:w="0" w:type="dxa"/>
            <w:bottom w:w="0" w:type="dxa"/>
            <w:right w:w="0" w:type="dxa"/>
          </w:tblCellMar>
        </w:tblPrEx>
        <w:trPr>
          <w:trHeight w:val="0" w:hRule="atLeast"/>
          <w:tblHeader/>
        </w:trPr>
        <w:tc>
          <w:tcPr>
            <w:tcW w:w="607" w:type="dxa"/>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14:paraId="631A4A4B">
            <w:pPr>
              <w:overflowPunct w:val="0"/>
              <w:adjustRightInd w:val="0"/>
              <w:snapToGrid w:val="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4</w:t>
            </w:r>
          </w:p>
        </w:tc>
        <w:tc>
          <w:tcPr>
            <w:tcW w:w="1057" w:type="dxa"/>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14:paraId="67E3F45C">
            <w:pPr>
              <w:overflowPunct w:val="0"/>
              <w:adjustRightInd w:val="0"/>
              <w:snapToGrid w:val="0"/>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kern w:val="0"/>
                <w:sz w:val="24"/>
                <w:szCs w:val="24"/>
                <w:highlight w:val="none"/>
                <w:lang w:val="en-US" w:eastAsia="en-US" w:bidi="ar-SA"/>
              </w:rPr>
              <w:t xml:space="preserve">供应商 </w:t>
            </w:r>
            <w:r>
              <w:rPr>
                <w:rFonts w:hint="eastAsia" w:ascii="仿宋_GB2312" w:hAnsi="仿宋_GB2312" w:eastAsia="仿宋_GB2312" w:cs="仿宋_GB2312"/>
                <w:kern w:val="0"/>
                <w:sz w:val="24"/>
                <w:szCs w:val="24"/>
                <w:highlight w:val="none"/>
                <w:lang w:val="en-US" w:eastAsia="zh-CN" w:bidi="ar-SA"/>
              </w:rPr>
              <w:t>实力及质量保障措施</w:t>
            </w:r>
          </w:p>
        </w:tc>
        <w:tc>
          <w:tcPr>
            <w:tcW w:w="934" w:type="dxa"/>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14:paraId="64311DE5">
            <w:pPr>
              <w:overflowPunct w:val="0"/>
              <w:adjustRightInd w:val="0"/>
              <w:snapToGrid w:val="0"/>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10</w:t>
            </w:r>
          </w:p>
        </w:tc>
        <w:tc>
          <w:tcPr>
            <w:tcW w:w="7084" w:type="dxa"/>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14:paraId="52B8F984">
            <w:pPr>
              <w:pStyle w:val="10"/>
              <w:keepNext w:val="0"/>
              <w:keepLines w:val="0"/>
              <w:pageBreakBefore w:val="0"/>
              <w:widowControl w:val="0"/>
              <w:suppressLineNumbers w:val="0"/>
              <w:kinsoku/>
              <w:wordWrap/>
              <w:topLinePunct w:val="0"/>
              <w:autoSpaceDE/>
              <w:autoSpaceDN/>
              <w:bidi w:val="0"/>
              <w:spacing w:before="0" w:beforeAutospacing="0" w:after="0" w:afterAutospacing="0"/>
              <w:ind w:left="0" w:leftChars="0" w:righ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评审内容：</w:t>
            </w:r>
          </w:p>
          <w:p w14:paraId="537C2ED1">
            <w:pPr>
              <w:pStyle w:val="10"/>
              <w:keepNext w:val="0"/>
              <w:keepLines w:val="0"/>
              <w:pageBreakBefore w:val="0"/>
              <w:widowControl w:val="0"/>
              <w:suppressLineNumbers w:val="0"/>
              <w:kinsoku/>
              <w:wordWrap/>
              <w:topLinePunct w:val="0"/>
              <w:autoSpaceDE/>
              <w:autoSpaceDN/>
              <w:bidi w:val="0"/>
              <w:spacing w:before="0" w:beforeAutospacing="0" w:after="0" w:afterAutospacing="0"/>
              <w:ind w:left="0" w:leftChars="0" w:righ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月饼生产厂家的产能，生产线主要设备的齐全程度、现代化、自动化程度，生产和仓库场地状况；生产流程与工艺技术的成熟度和完整性，生产环境空间布局的合理性</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lang w:val="en-US" w:eastAsia="zh-CN"/>
              </w:rPr>
              <w:t>食品安全及质量保障措施等</w:t>
            </w:r>
            <w:r>
              <w:rPr>
                <w:rFonts w:hint="eastAsia" w:ascii="仿宋_GB2312" w:hAnsi="仿宋_GB2312" w:eastAsia="仿宋_GB2312" w:cs="仿宋_GB2312"/>
                <w:sz w:val="24"/>
                <w:szCs w:val="24"/>
                <w:highlight w:val="none"/>
              </w:rPr>
              <w:t>。</w:t>
            </w:r>
          </w:p>
          <w:p w14:paraId="47282F70">
            <w:pPr>
              <w:pStyle w:val="10"/>
              <w:keepNext w:val="0"/>
              <w:keepLines w:val="0"/>
              <w:pageBreakBefore w:val="0"/>
              <w:widowControl w:val="0"/>
              <w:suppressLineNumbers w:val="0"/>
              <w:kinsoku/>
              <w:wordWrap/>
              <w:topLinePunct w:val="0"/>
              <w:autoSpaceDE/>
              <w:autoSpaceDN/>
              <w:bidi w:val="0"/>
              <w:spacing w:before="0" w:beforeAutospacing="0" w:after="0" w:afterAutospacing="0"/>
              <w:ind w:left="0" w:leftChars="0" w:righ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评审标准：评委根据</w:t>
            </w:r>
            <w:r>
              <w:rPr>
                <w:rFonts w:hint="eastAsia" w:ascii="仿宋_GB2312" w:hAnsi="仿宋_GB2312" w:eastAsia="仿宋_GB2312" w:cs="仿宋_GB2312"/>
                <w:sz w:val="24"/>
                <w:szCs w:val="24"/>
                <w:highlight w:val="none"/>
                <w:lang w:val="en-US" w:eastAsia="zh-CN"/>
              </w:rPr>
              <w:t>投标人</w:t>
            </w:r>
            <w:r>
              <w:rPr>
                <w:rFonts w:hint="eastAsia" w:ascii="仿宋_GB2312" w:hAnsi="仿宋_GB2312" w:eastAsia="仿宋_GB2312" w:cs="仿宋_GB2312"/>
                <w:sz w:val="24"/>
                <w:szCs w:val="24"/>
                <w:highlight w:val="none"/>
              </w:rPr>
              <w:t>提供的相关文件</w:t>
            </w:r>
            <w:r>
              <w:rPr>
                <w:rFonts w:hint="eastAsia" w:ascii="仿宋_GB2312" w:hAnsi="仿宋_GB2312" w:eastAsia="仿宋_GB2312" w:cs="仿宋_GB2312"/>
                <w:sz w:val="24"/>
                <w:szCs w:val="24"/>
                <w:highlight w:val="none"/>
                <w:lang w:val="en-US" w:eastAsia="zh-CN"/>
              </w:rPr>
              <w:t>说明</w:t>
            </w:r>
            <w:r>
              <w:rPr>
                <w:rFonts w:hint="eastAsia" w:ascii="仿宋_GB2312" w:hAnsi="仿宋_GB2312" w:eastAsia="仿宋_GB2312" w:cs="仿宋_GB2312"/>
                <w:sz w:val="24"/>
                <w:szCs w:val="24"/>
                <w:highlight w:val="none"/>
              </w:rPr>
              <w:t>及照片/展示图片进行评分。</w:t>
            </w:r>
          </w:p>
          <w:p w14:paraId="0413E1D0">
            <w:pPr>
              <w:pStyle w:val="10"/>
              <w:keepNext w:val="0"/>
              <w:keepLines w:val="0"/>
              <w:pageBreakBefore w:val="0"/>
              <w:widowControl w:val="0"/>
              <w:suppressLineNumbers w:val="0"/>
              <w:kinsoku/>
              <w:wordWrap/>
              <w:topLinePunct w:val="0"/>
              <w:autoSpaceDE/>
              <w:autoSpaceDN/>
              <w:bidi w:val="0"/>
              <w:spacing w:before="0" w:beforeAutospacing="0" w:after="0" w:afterAutospacing="0"/>
              <w:ind w:left="0" w:leftChars="0" w:righ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优：得</w:t>
            </w:r>
            <w:r>
              <w:rPr>
                <w:rFonts w:hint="eastAsia" w:ascii="仿宋_GB2312" w:hAnsi="仿宋_GB2312" w:eastAsia="仿宋_GB2312" w:cs="仿宋_GB2312"/>
                <w:sz w:val="24"/>
                <w:szCs w:val="24"/>
                <w:highlight w:val="none"/>
                <w:lang w:val="en-US" w:eastAsia="zh-CN"/>
              </w:rPr>
              <w:t>8</w:t>
            </w:r>
            <w:r>
              <w:rPr>
                <w:rFonts w:hint="eastAsia" w:ascii="仿宋_GB2312" w:hAnsi="仿宋_GB2312" w:eastAsia="仿宋_GB2312" w:cs="仿宋_GB2312"/>
                <w:sz w:val="24"/>
                <w:szCs w:val="24"/>
                <w:highlight w:val="none"/>
              </w:rPr>
              <w:t>-</w:t>
            </w:r>
            <w:r>
              <w:rPr>
                <w:rFonts w:hint="eastAsia" w:ascii="仿宋_GB2312" w:hAnsi="仿宋_GB2312" w:eastAsia="仿宋_GB2312" w:cs="仿宋_GB2312"/>
                <w:sz w:val="24"/>
                <w:szCs w:val="24"/>
                <w:highlight w:val="none"/>
                <w:lang w:val="en-US" w:eastAsia="zh-CN"/>
              </w:rPr>
              <w:t>10</w:t>
            </w:r>
            <w:r>
              <w:rPr>
                <w:rFonts w:hint="eastAsia" w:ascii="仿宋_GB2312" w:hAnsi="仿宋_GB2312" w:eastAsia="仿宋_GB2312" w:cs="仿宋_GB2312"/>
                <w:sz w:val="24"/>
                <w:szCs w:val="24"/>
                <w:highlight w:val="none"/>
              </w:rPr>
              <w:t>分 良好：得</w:t>
            </w:r>
            <w:r>
              <w:rPr>
                <w:rFonts w:hint="eastAsia" w:ascii="仿宋_GB2312" w:hAnsi="仿宋_GB2312" w:eastAsia="仿宋_GB2312" w:cs="仿宋_GB2312"/>
                <w:sz w:val="24"/>
                <w:szCs w:val="24"/>
                <w:highlight w:val="none"/>
                <w:lang w:val="en-US" w:eastAsia="zh-CN"/>
              </w:rPr>
              <w:t>4</w:t>
            </w:r>
            <w:r>
              <w:rPr>
                <w:rFonts w:hint="eastAsia" w:ascii="仿宋_GB2312" w:hAnsi="仿宋_GB2312" w:eastAsia="仿宋_GB2312" w:cs="仿宋_GB2312"/>
                <w:sz w:val="24"/>
                <w:szCs w:val="24"/>
                <w:highlight w:val="none"/>
              </w:rPr>
              <w:t>-</w:t>
            </w:r>
            <w:r>
              <w:rPr>
                <w:rFonts w:hint="eastAsia" w:ascii="仿宋_GB2312" w:hAnsi="仿宋_GB2312" w:eastAsia="仿宋_GB2312" w:cs="仿宋_GB2312"/>
                <w:sz w:val="24"/>
                <w:szCs w:val="24"/>
                <w:highlight w:val="none"/>
                <w:lang w:val="en-US" w:eastAsia="zh-CN"/>
              </w:rPr>
              <w:t>7</w:t>
            </w:r>
            <w:r>
              <w:rPr>
                <w:rFonts w:hint="eastAsia" w:ascii="仿宋_GB2312" w:hAnsi="仿宋_GB2312" w:eastAsia="仿宋_GB2312" w:cs="仿宋_GB2312"/>
                <w:sz w:val="24"/>
                <w:szCs w:val="24"/>
                <w:highlight w:val="none"/>
              </w:rPr>
              <w:t>分 一般：得</w:t>
            </w:r>
            <w:r>
              <w:rPr>
                <w:rFonts w:hint="eastAsia" w:ascii="仿宋_GB2312" w:hAnsi="仿宋_GB2312" w:eastAsia="仿宋_GB2312" w:cs="仿宋_GB2312"/>
                <w:sz w:val="24"/>
                <w:szCs w:val="24"/>
                <w:highlight w:val="none"/>
                <w:lang w:val="en-US" w:eastAsia="zh-CN"/>
              </w:rPr>
              <w:t>1</w:t>
            </w:r>
            <w:r>
              <w:rPr>
                <w:rFonts w:hint="eastAsia" w:ascii="仿宋_GB2312" w:hAnsi="仿宋_GB2312" w:eastAsia="仿宋_GB2312" w:cs="仿宋_GB2312"/>
                <w:sz w:val="24"/>
                <w:szCs w:val="24"/>
                <w:highlight w:val="none"/>
              </w:rPr>
              <w:t>-</w:t>
            </w:r>
            <w:r>
              <w:rPr>
                <w:rFonts w:hint="eastAsia" w:ascii="仿宋_GB2312" w:hAnsi="仿宋_GB2312" w:eastAsia="仿宋_GB2312" w:cs="仿宋_GB2312"/>
                <w:sz w:val="24"/>
                <w:szCs w:val="24"/>
                <w:highlight w:val="none"/>
                <w:lang w:val="en-US" w:eastAsia="zh-CN"/>
              </w:rPr>
              <w:t>3</w:t>
            </w:r>
            <w:r>
              <w:rPr>
                <w:rFonts w:hint="eastAsia" w:ascii="仿宋_GB2312" w:hAnsi="仿宋_GB2312" w:eastAsia="仿宋_GB2312" w:cs="仿宋_GB2312"/>
                <w:sz w:val="24"/>
                <w:szCs w:val="24"/>
                <w:highlight w:val="none"/>
              </w:rPr>
              <w:t xml:space="preserve">分 </w:t>
            </w:r>
          </w:p>
          <w:p w14:paraId="1B359E46">
            <w:pPr>
              <w:pStyle w:val="10"/>
              <w:keepNext w:val="0"/>
              <w:keepLines w:val="0"/>
              <w:pageBreakBefore w:val="0"/>
              <w:widowControl w:val="0"/>
              <w:suppressLineNumbers w:val="0"/>
              <w:kinsoku/>
              <w:wordWrap/>
              <w:topLinePunct w:val="0"/>
              <w:autoSpaceDE/>
              <w:autoSpaceDN/>
              <w:bidi w:val="0"/>
              <w:spacing w:before="0" w:beforeAutospacing="0" w:after="0" w:afterAutospacing="0"/>
              <w:ind w:left="0" w:leftChars="0" w:righ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 xml:space="preserve">证明材料： </w:t>
            </w:r>
            <w:r>
              <w:rPr>
                <w:rFonts w:hint="eastAsia" w:ascii="仿宋_GB2312" w:hAnsi="仿宋_GB2312" w:eastAsia="仿宋_GB2312" w:cs="仿宋_GB2312"/>
                <w:sz w:val="24"/>
                <w:szCs w:val="24"/>
                <w:highlight w:val="none"/>
                <w:lang w:val="en-US" w:eastAsia="zh-CN"/>
              </w:rPr>
              <w:t>投标人</w:t>
            </w:r>
            <w:r>
              <w:rPr>
                <w:rFonts w:hint="eastAsia" w:ascii="仿宋_GB2312" w:hAnsi="仿宋_GB2312" w:eastAsia="仿宋_GB2312" w:cs="仿宋_GB2312"/>
                <w:sz w:val="24"/>
                <w:szCs w:val="24"/>
                <w:highlight w:val="none"/>
              </w:rPr>
              <w:t>提供月饼生产线、仓库场地、食品安全保障能力及措施相关文件及照片/展示图片等文件。</w:t>
            </w:r>
          </w:p>
        </w:tc>
      </w:tr>
      <w:tr w14:paraId="3DE49D94">
        <w:tblPrEx>
          <w:tblCellMar>
            <w:top w:w="0" w:type="dxa"/>
            <w:left w:w="0" w:type="dxa"/>
            <w:bottom w:w="0" w:type="dxa"/>
            <w:right w:w="0" w:type="dxa"/>
          </w:tblCellMar>
        </w:tblPrEx>
        <w:trPr>
          <w:trHeight w:val="0" w:hRule="atLeast"/>
          <w:tblHeader/>
        </w:trPr>
        <w:tc>
          <w:tcPr>
            <w:tcW w:w="607" w:type="dxa"/>
            <w:tcBorders>
              <w:top w:val="single" w:color="auto" w:sz="4" w:space="0"/>
              <w:left w:val="single" w:color="000000" w:sz="4" w:space="0"/>
              <w:bottom w:val="single" w:color="auto" w:sz="4" w:space="0"/>
              <w:right w:val="single" w:color="000000" w:sz="4" w:space="0"/>
            </w:tcBorders>
            <w:tcMar>
              <w:left w:w="108" w:type="dxa"/>
              <w:right w:w="108" w:type="dxa"/>
            </w:tcMar>
            <w:vAlign w:val="center"/>
          </w:tcPr>
          <w:p w14:paraId="3FFE4493">
            <w:pPr>
              <w:pStyle w:val="16"/>
              <w:widowControl/>
              <w:spacing w:beforeAutospacing="1" w:afterAutospacing="1"/>
              <w:jc w:val="center"/>
              <w:rPr>
                <w:rFonts w:hint="eastAsia" w:ascii="仿宋_GB2312" w:hAnsi="仿宋_GB2312" w:eastAsia="仿宋_GB2312" w:cs="仿宋_GB2312"/>
                <w:szCs w:val="24"/>
                <w:lang w:val="en-US" w:eastAsia="zh-CN"/>
              </w:rPr>
            </w:pPr>
            <w:r>
              <w:rPr>
                <w:rFonts w:hint="eastAsia" w:ascii="仿宋_GB2312" w:hAnsi="仿宋_GB2312" w:eastAsia="仿宋_GB2312" w:cs="仿宋_GB2312"/>
                <w:szCs w:val="24"/>
                <w:lang w:val="en-US" w:eastAsia="zh-CN"/>
              </w:rPr>
              <w:t>5</w:t>
            </w:r>
          </w:p>
        </w:tc>
        <w:tc>
          <w:tcPr>
            <w:tcW w:w="1057" w:type="dxa"/>
            <w:tcBorders>
              <w:top w:val="single" w:color="auto" w:sz="4" w:space="0"/>
              <w:left w:val="single" w:color="000000" w:sz="4" w:space="0"/>
              <w:bottom w:val="single" w:color="auto" w:sz="4" w:space="0"/>
              <w:right w:val="single" w:color="000000" w:sz="4" w:space="0"/>
            </w:tcBorders>
            <w:shd w:val="clear" w:color="auto" w:fill="auto"/>
            <w:tcMar>
              <w:left w:w="108" w:type="dxa"/>
              <w:right w:w="108" w:type="dxa"/>
            </w:tcMar>
            <w:vAlign w:val="center"/>
          </w:tcPr>
          <w:p w14:paraId="26BBCA79">
            <w:pPr>
              <w:pStyle w:val="16"/>
              <w:widowControl/>
              <w:spacing w:beforeAutospacing="1" w:afterAutospacing="1"/>
              <w:jc w:val="center"/>
              <w:rPr>
                <w:rFonts w:hint="eastAsia" w:ascii="仿宋_GB2312" w:hAnsi="仿宋_GB2312" w:eastAsia="仿宋_GB2312" w:cs="仿宋_GB2312"/>
                <w:kern w:val="2"/>
                <w:szCs w:val="24"/>
                <w:lang w:val="en-US" w:eastAsia="zh-CN"/>
              </w:rPr>
            </w:pPr>
            <w:r>
              <w:rPr>
                <w:rFonts w:hint="eastAsia" w:ascii="仿宋_GB2312" w:hAnsi="仿宋_GB2312" w:eastAsia="仿宋_GB2312" w:cs="仿宋_GB2312"/>
                <w:kern w:val="2"/>
                <w:szCs w:val="24"/>
                <w:lang w:val="en-US" w:eastAsia="zh-CN"/>
              </w:rPr>
              <w:t>试吃</w:t>
            </w:r>
          </w:p>
          <w:p w14:paraId="18998FA0">
            <w:pPr>
              <w:pStyle w:val="16"/>
              <w:widowControl/>
              <w:spacing w:beforeAutospacing="1" w:afterAutospacing="1"/>
              <w:jc w:val="center"/>
              <w:rPr>
                <w:rFonts w:hint="default" w:ascii="仿宋_GB2312" w:hAnsi="仿宋_GB2312" w:eastAsia="仿宋_GB2312" w:cs="仿宋_GB2312"/>
                <w:kern w:val="2"/>
                <w:szCs w:val="24"/>
                <w:lang w:val="en-US" w:eastAsia="zh-CN"/>
              </w:rPr>
            </w:pPr>
            <w:r>
              <w:rPr>
                <w:rFonts w:hint="eastAsia" w:ascii="仿宋_GB2312" w:hAnsi="仿宋_GB2312" w:eastAsia="仿宋_GB2312" w:cs="仿宋_GB2312"/>
                <w:kern w:val="2"/>
                <w:szCs w:val="24"/>
                <w:lang w:val="en-US" w:eastAsia="zh-CN"/>
              </w:rPr>
              <w:t>样品</w:t>
            </w:r>
          </w:p>
        </w:tc>
        <w:tc>
          <w:tcPr>
            <w:tcW w:w="934"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5627A6E5">
            <w:pPr>
              <w:pStyle w:val="16"/>
              <w:widowControl/>
              <w:jc w:val="center"/>
              <w:rPr>
                <w:rFonts w:hint="default" w:ascii="仿宋_GB2312" w:hAnsi="仿宋_GB2312" w:eastAsia="仿宋_GB2312" w:cs="仿宋_GB2312"/>
                <w:szCs w:val="24"/>
                <w:lang w:val="en-US" w:eastAsia="zh-CN"/>
              </w:rPr>
            </w:pPr>
            <w:r>
              <w:rPr>
                <w:rFonts w:hint="eastAsia" w:ascii="仿宋_GB2312" w:hAnsi="仿宋_GB2312" w:eastAsia="仿宋_GB2312" w:cs="仿宋_GB2312"/>
                <w:szCs w:val="24"/>
                <w:lang w:val="en-US" w:eastAsia="zh-CN"/>
              </w:rPr>
              <w:t>30</w:t>
            </w:r>
          </w:p>
        </w:tc>
        <w:tc>
          <w:tcPr>
            <w:tcW w:w="7084"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466C27E9">
            <w:pPr>
              <w:pStyle w:val="48"/>
              <w:tabs>
                <w:tab w:val="left" w:pos="1701"/>
              </w:tabs>
              <w:spacing w:line="360" w:lineRule="exact"/>
              <w:ind w:firstLine="0" w:firstLineChars="0"/>
              <w:jc w:val="lef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评审内容：</w:t>
            </w:r>
          </w:p>
          <w:p w14:paraId="3E43E9B7">
            <w:pPr>
              <w:pStyle w:val="48"/>
              <w:tabs>
                <w:tab w:val="left" w:pos="1701"/>
              </w:tabs>
              <w:spacing w:line="360" w:lineRule="exact"/>
              <w:ind w:firstLine="0" w:firstLineChars="0"/>
              <w:jc w:val="left"/>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通过投标人报送的月饼样板进行评审</w:t>
            </w:r>
            <w:r>
              <w:rPr>
                <w:rFonts w:hint="eastAsia" w:ascii="仿宋_GB2312" w:hAnsi="仿宋_GB2312" w:eastAsia="仿宋_GB2312" w:cs="仿宋_GB2312"/>
                <w:sz w:val="24"/>
                <w:szCs w:val="24"/>
              </w:rPr>
              <w:t>。</w:t>
            </w:r>
          </w:p>
          <w:p w14:paraId="4E69E3AD">
            <w:pPr>
              <w:pStyle w:val="48"/>
              <w:tabs>
                <w:tab w:val="left" w:pos="1701"/>
              </w:tabs>
              <w:spacing w:line="360" w:lineRule="exact"/>
              <w:ind w:firstLine="0" w:firstLineChars="0"/>
              <w:jc w:val="lef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评审标准：</w:t>
            </w:r>
          </w:p>
          <w:p w14:paraId="680CEA0F">
            <w:pPr>
              <w:pStyle w:val="48"/>
              <w:numPr>
                <w:ilvl w:val="0"/>
                <w:numId w:val="0"/>
              </w:numPr>
              <w:tabs>
                <w:tab w:val="left" w:pos="1701"/>
              </w:tabs>
              <w:spacing w:line="360" w:lineRule="exact"/>
              <w:jc w:val="left"/>
              <w:rPr>
                <w:rFonts w:hint="eastAsia" w:ascii="仿宋_GB2312" w:hAnsi="仿宋_GB2312" w:eastAsia="仿宋_GB2312" w:cs="仿宋_GB2312"/>
                <w:kern w:val="0"/>
                <w:sz w:val="24"/>
                <w:szCs w:val="24"/>
                <w:highlight w:val="none"/>
                <w:lang w:val="en-US" w:eastAsia="en-US" w:bidi="ar-SA"/>
              </w:rPr>
            </w:pPr>
            <w:r>
              <w:rPr>
                <w:rFonts w:hint="eastAsia" w:ascii="仿宋_GB2312" w:hAnsi="仿宋_GB2312" w:eastAsia="仿宋_GB2312" w:cs="仿宋_GB2312"/>
                <w:kern w:val="0"/>
                <w:sz w:val="24"/>
                <w:szCs w:val="24"/>
                <w:highlight w:val="none"/>
                <w:lang w:val="en-US" w:eastAsia="zh-CN" w:bidi="ar-SA"/>
              </w:rPr>
              <w:t>1.</w:t>
            </w:r>
            <w:r>
              <w:rPr>
                <w:rFonts w:hint="eastAsia" w:ascii="仿宋_GB2312" w:hAnsi="仿宋_GB2312" w:eastAsia="仿宋_GB2312" w:cs="仿宋_GB2312"/>
                <w:kern w:val="0"/>
                <w:sz w:val="24"/>
                <w:szCs w:val="24"/>
                <w:highlight w:val="none"/>
                <w:lang w:val="en-US" w:eastAsia="en-US" w:bidi="ar-SA"/>
              </w:rPr>
              <w:t>外形是否饱满、腰部微凸、轮廓分明 外形的品名或图案花纹清晰度有无明显凹陷爆裂、塌斜、漏馅现象。</w:t>
            </w:r>
          </w:p>
          <w:p w14:paraId="2B093DD0">
            <w:pPr>
              <w:pStyle w:val="48"/>
              <w:numPr>
                <w:ilvl w:val="0"/>
                <w:numId w:val="0"/>
              </w:numPr>
              <w:tabs>
                <w:tab w:val="left" w:pos="1701"/>
              </w:tabs>
              <w:spacing w:line="360" w:lineRule="exact"/>
              <w:jc w:val="left"/>
              <w:rPr>
                <w:rFonts w:hint="eastAsia" w:ascii="仿宋_GB2312" w:hAnsi="仿宋_GB2312" w:eastAsia="仿宋_GB2312" w:cs="仿宋_GB2312"/>
                <w:kern w:val="0"/>
                <w:sz w:val="24"/>
                <w:szCs w:val="24"/>
                <w:highlight w:val="none"/>
                <w:lang w:val="en-US" w:eastAsia="en-US" w:bidi="ar-SA"/>
              </w:rPr>
            </w:pPr>
            <w:r>
              <w:rPr>
                <w:rFonts w:hint="eastAsia" w:ascii="仿宋_GB2312" w:hAnsi="仿宋_GB2312" w:eastAsia="仿宋_GB2312" w:cs="仿宋_GB2312"/>
                <w:kern w:val="0"/>
                <w:sz w:val="24"/>
                <w:szCs w:val="24"/>
                <w:highlight w:val="none"/>
                <w:lang w:val="en-US" w:eastAsia="zh-CN" w:bidi="ar-SA"/>
              </w:rPr>
              <w:t>2.</w:t>
            </w:r>
            <w:r>
              <w:rPr>
                <w:rFonts w:hint="eastAsia" w:ascii="仿宋_GB2312" w:hAnsi="仿宋_GB2312" w:eastAsia="仿宋_GB2312" w:cs="仿宋_GB2312"/>
                <w:kern w:val="0"/>
                <w:sz w:val="24"/>
                <w:szCs w:val="24"/>
                <w:highlight w:val="none"/>
                <w:lang w:val="en-US" w:eastAsia="en-US" w:bidi="ar-SA"/>
              </w:rPr>
              <w:t>饼面是否呈黄或棕红，色泽是否均匀，腰部是否呈乳黄或黄色，底部 是否呈棕黄色，是否有污染。</w:t>
            </w:r>
          </w:p>
          <w:p w14:paraId="3B1F4BBE">
            <w:pPr>
              <w:pStyle w:val="48"/>
              <w:numPr>
                <w:ilvl w:val="0"/>
                <w:numId w:val="0"/>
              </w:numPr>
              <w:tabs>
                <w:tab w:val="left" w:pos="1701"/>
              </w:tabs>
              <w:spacing w:line="360" w:lineRule="exact"/>
              <w:jc w:val="left"/>
              <w:rPr>
                <w:rFonts w:hint="eastAsia" w:ascii="仿宋_GB2312" w:hAnsi="仿宋_GB2312" w:eastAsia="仿宋_GB2312" w:cs="仿宋_GB2312"/>
                <w:kern w:val="0"/>
                <w:sz w:val="24"/>
                <w:szCs w:val="24"/>
                <w:highlight w:val="none"/>
                <w:lang w:val="en-US" w:eastAsia="en-US" w:bidi="ar-SA"/>
              </w:rPr>
            </w:pPr>
            <w:r>
              <w:rPr>
                <w:rFonts w:hint="eastAsia" w:ascii="仿宋_GB2312" w:hAnsi="仿宋_GB2312" w:eastAsia="仿宋_GB2312" w:cs="仿宋_GB2312"/>
                <w:kern w:val="0"/>
                <w:sz w:val="24"/>
                <w:szCs w:val="24"/>
                <w:highlight w:val="none"/>
                <w:lang w:val="en-US" w:eastAsia="zh-CN" w:bidi="ar-SA"/>
              </w:rPr>
              <w:t>3.</w:t>
            </w:r>
            <w:r>
              <w:rPr>
                <w:rFonts w:hint="eastAsia" w:ascii="仿宋_GB2312" w:hAnsi="仿宋_GB2312" w:eastAsia="仿宋_GB2312" w:cs="仿宋_GB2312"/>
                <w:kern w:val="0"/>
                <w:sz w:val="24"/>
                <w:szCs w:val="24"/>
                <w:highlight w:val="none"/>
                <w:lang w:val="en-US" w:eastAsia="en-US" w:bidi="ar-SA"/>
              </w:rPr>
              <w:t>饼皮厚薄均匀，皮馅无脱离现象，蓉馅细腻无返砂，果仁馅料伴和均匀，无夹生，无杂质。</w:t>
            </w:r>
          </w:p>
          <w:p w14:paraId="183F159F">
            <w:pPr>
              <w:pStyle w:val="48"/>
              <w:numPr>
                <w:ilvl w:val="0"/>
                <w:numId w:val="0"/>
              </w:numPr>
              <w:tabs>
                <w:tab w:val="left" w:pos="1701"/>
              </w:tabs>
              <w:spacing w:line="360" w:lineRule="exact"/>
              <w:jc w:val="left"/>
              <w:rPr>
                <w:rFonts w:hint="eastAsia" w:ascii="仿宋_GB2312" w:hAnsi="仿宋_GB2312" w:eastAsia="仿宋_GB2312" w:cs="仿宋_GB2312"/>
                <w:kern w:val="0"/>
                <w:sz w:val="24"/>
                <w:szCs w:val="24"/>
                <w:highlight w:val="none"/>
                <w:lang w:val="en-US" w:eastAsia="en-US" w:bidi="ar-SA"/>
              </w:rPr>
            </w:pPr>
            <w:r>
              <w:rPr>
                <w:rFonts w:hint="eastAsia" w:ascii="仿宋_GB2312" w:hAnsi="仿宋_GB2312" w:eastAsia="仿宋_GB2312" w:cs="仿宋_GB2312"/>
                <w:kern w:val="0"/>
                <w:sz w:val="24"/>
                <w:szCs w:val="24"/>
                <w:highlight w:val="none"/>
                <w:lang w:val="en-US" w:eastAsia="zh-CN" w:bidi="ar-SA"/>
              </w:rPr>
              <w:t>4.</w:t>
            </w:r>
            <w:r>
              <w:rPr>
                <w:rFonts w:hint="eastAsia" w:ascii="仿宋_GB2312" w:hAnsi="仿宋_GB2312" w:eastAsia="仿宋_GB2312" w:cs="仿宋_GB2312"/>
                <w:kern w:val="0"/>
                <w:sz w:val="24"/>
                <w:szCs w:val="24"/>
                <w:highlight w:val="none"/>
                <w:lang w:val="en-US" w:eastAsia="en-US" w:bidi="ar-SA"/>
              </w:rPr>
              <w:t>蛋黄的新鲜程度（色度）、出油度（出油适中）</w:t>
            </w:r>
          </w:p>
          <w:p w14:paraId="73577E3C">
            <w:pPr>
              <w:pStyle w:val="48"/>
              <w:numPr>
                <w:ilvl w:val="0"/>
                <w:numId w:val="0"/>
              </w:numPr>
              <w:tabs>
                <w:tab w:val="left" w:pos="1701"/>
              </w:tabs>
              <w:spacing w:line="360" w:lineRule="exact"/>
              <w:jc w:val="left"/>
              <w:rPr>
                <w:rFonts w:hint="eastAsia" w:ascii="仿宋_GB2312" w:hAnsi="仿宋_GB2312" w:eastAsia="仿宋_GB2312" w:cs="仿宋_GB2312"/>
                <w:kern w:val="0"/>
                <w:sz w:val="24"/>
                <w:szCs w:val="24"/>
                <w:highlight w:val="none"/>
                <w:lang w:val="en-US" w:eastAsia="en-US" w:bidi="ar-SA"/>
              </w:rPr>
            </w:pPr>
            <w:r>
              <w:rPr>
                <w:rFonts w:hint="eastAsia" w:ascii="仿宋_GB2312" w:hAnsi="仿宋_GB2312" w:eastAsia="仿宋_GB2312" w:cs="仿宋_GB2312"/>
                <w:kern w:val="0"/>
                <w:sz w:val="24"/>
                <w:szCs w:val="24"/>
                <w:highlight w:val="none"/>
                <w:lang w:val="en-US" w:eastAsia="zh-CN" w:bidi="ar-SA"/>
              </w:rPr>
              <w:t>5.</w:t>
            </w:r>
            <w:r>
              <w:rPr>
                <w:rFonts w:hint="eastAsia" w:ascii="仿宋_GB2312" w:hAnsi="仿宋_GB2312" w:eastAsia="仿宋_GB2312" w:cs="仿宋_GB2312"/>
                <w:kern w:val="0"/>
                <w:sz w:val="24"/>
                <w:szCs w:val="24"/>
                <w:highlight w:val="none"/>
                <w:lang w:val="en-US" w:eastAsia="en-US" w:bidi="ar-SA"/>
              </w:rPr>
              <w:t>口感咸甜适中，细腻、绵软。</w:t>
            </w:r>
          </w:p>
          <w:p w14:paraId="4D204F3B">
            <w:pPr>
              <w:pStyle w:val="48"/>
              <w:numPr>
                <w:ilvl w:val="0"/>
                <w:numId w:val="0"/>
              </w:numPr>
              <w:tabs>
                <w:tab w:val="left" w:pos="1701"/>
              </w:tabs>
              <w:spacing w:line="360" w:lineRule="exact"/>
              <w:jc w:val="left"/>
              <w:rPr>
                <w:rFonts w:hint="eastAsia" w:ascii="仿宋_GB2312" w:hAnsi="仿宋_GB2312" w:eastAsia="仿宋_GB2312" w:cs="仿宋_GB2312"/>
                <w:kern w:val="0"/>
                <w:sz w:val="24"/>
                <w:szCs w:val="24"/>
                <w:highlight w:val="none"/>
                <w:lang w:val="en-US" w:eastAsia="en-US" w:bidi="ar-SA"/>
              </w:rPr>
            </w:pPr>
            <w:r>
              <w:rPr>
                <w:rFonts w:hint="eastAsia" w:ascii="仿宋_GB2312" w:hAnsi="仿宋_GB2312" w:eastAsia="仿宋_GB2312" w:cs="仿宋_GB2312"/>
                <w:kern w:val="0"/>
                <w:sz w:val="24"/>
                <w:szCs w:val="24"/>
                <w:highlight w:val="none"/>
                <w:lang w:val="en-US" w:eastAsia="en-US" w:bidi="ar-SA"/>
              </w:rPr>
              <w:t>优：得</w:t>
            </w:r>
            <w:r>
              <w:rPr>
                <w:rFonts w:hint="eastAsia" w:ascii="仿宋_GB2312" w:hAnsi="仿宋_GB2312" w:eastAsia="仿宋_GB2312" w:cs="仿宋_GB2312"/>
                <w:kern w:val="0"/>
                <w:sz w:val="24"/>
                <w:szCs w:val="24"/>
                <w:highlight w:val="none"/>
                <w:lang w:val="en-US" w:eastAsia="zh-CN" w:bidi="ar-SA"/>
              </w:rPr>
              <w:t>20</w:t>
            </w:r>
            <w:r>
              <w:rPr>
                <w:rFonts w:hint="eastAsia" w:ascii="仿宋_GB2312" w:hAnsi="仿宋_GB2312" w:eastAsia="仿宋_GB2312" w:cs="仿宋_GB2312"/>
                <w:kern w:val="0"/>
                <w:sz w:val="24"/>
                <w:szCs w:val="24"/>
                <w:highlight w:val="none"/>
                <w:lang w:val="en-US" w:eastAsia="en-US" w:bidi="ar-SA"/>
              </w:rPr>
              <w:t>-</w:t>
            </w:r>
            <w:r>
              <w:rPr>
                <w:rFonts w:hint="eastAsia" w:ascii="仿宋_GB2312" w:hAnsi="仿宋_GB2312" w:eastAsia="仿宋_GB2312" w:cs="仿宋_GB2312"/>
                <w:kern w:val="0"/>
                <w:sz w:val="24"/>
                <w:szCs w:val="24"/>
                <w:highlight w:val="none"/>
                <w:lang w:val="en-US" w:eastAsia="zh-CN" w:bidi="ar-SA"/>
              </w:rPr>
              <w:t>30</w:t>
            </w:r>
            <w:r>
              <w:rPr>
                <w:rFonts w:hint="eastAsia" w:ascii="仿宋_GB2312" w:hAnsi="仿宋_GB2312" w:eastAsia="仿宋_GB2312" w:cs="仿宋_GB2312"/>
                <w:kern w:val="0"/>
                <w:sz w:val="24"/>
                <w:szCs w:val="24"/>
                <w:highlight w:val="none"/>
                <w:lang w:val="en-US" w:eastAsia="en-US" w:bidi="ar-SA"/>
              </w:rPr>
              <w:t>分 良好：得</w:t>
            </w:r>
            <w:r>
              <w:rPr>
                <w:rFonts w:hint="eastAsia" w:ascii="仿宋_GB2312" w:hAnsi="仿宋_GB2312" w:eastAsia="仿宋_GB2312" w:cs="仿宋_GB2312"/>
                <w:kern w:val="0"/>
                <w:sz w:val="24"/>
                <w:szCs w:val="24"/>
                <w:highlight w:val="none"/>
                <w:lang w:val="en-US" w:eastAsia="zh-CN" w:bidi="ar-SA"/>
              </w:rPr>
              <w:t>10</w:t>
            </w:r>
            <w:r>
              <w:rPr>
                <w:rFonts w:hint="eastAsia" w:ascii="仿宋_GB2312" w:hAnsi="仿宋_GB2312" w:eastAsia="仿宋_GB2312" w:cs="仿宋_GB2312"/>
                <w:kern w:val="0"/>
                <w:sz w:val="24"/>
                <w:szCs w:val="24"/>
                <w:highlight w:val="none"/>
                <w:lang w:val="en-US" w:eastAsia="en-US" w:bidi="ar-SA"/>
              </w:rPr>
              <w:t>-</w:t>
            </w:r>
            <w:r>
              <w:rPr>
                <w:rFonts w:hint="eastAsia" w:ascii="仿宋_GB2312" w:hAnsi="仿宋_GB2312" w:eastAsia="仿宋_GB2312" w:cs="仿宋_GB2312"/>
                <w:kern w:val="0"/>
                <w:sz w:val="24"/>
                <w:szCs w:val="24"/>
                <w:highlight w:val="none"/>
                <w:lang w:val="en-US" w:eastAsia="zh-CN" w:bidi="ar-SA"/>
              </w:rPr>
              <w:t>19</w:t>
            </w:r>
            <w:r>
              <w:rPr>
                <w:rFonts w:hint="eastAsia" w:ascii="仿宋_GB2312" w:hAnsi="仿宋_GB2312" w:eastAsia="仿宋_GB2312" w:cs="仿宋_GB2312"/>
                <w:kern w:val="0"/>
                <w:sz w:val="24"/>
                <w:szCs w:val="24"/>
                <w:highlight w:val="none"/>
                <w:lang w:val="en-US" w:eastAsia="en-US" w:bidi="ar-SA"/>
              </w:rPr>
              <w:t>分 一般：得</w:t>
            </w:r>
            <w:r>
              <w:rPr>
                <w:rFonts w:hint="eastAsia" w:ascii="仿宋_GB2312" w:hAnsi="仿宋_GB2312" w:eastAsia="仿宋_GB2312" w:cs="仿宋_GB2312"/>
                <w:kern w:val="0"/>
                <w:sz w:val="24"/>
                <w:szCs w:val="24"/>
                <w:highlight w:val="none"/>
                <w:lang w:val="en-US" w:eastAsia="zh-CN" w:bidi="ar-SA"/>
              </w:rPr>
              <w:t>1</w:t>
            </w:r>
            <w:r>
              <w:rPr>
                <w:rFonts w:hint="eastAsia" w:ascii="仿宋_GB2312" w:hAnsi="仿宋_GB2312" w:eastAsia="仿宋_GB2312" w:cs="仿宋_GB2312"/>
                <w:kern w:val="0"/>
                <w:sz w:val="24"/>
                <w:szCs w:val="24"/>
                <w:highlight w:val="none"/>
                <w:lang w:val="en-US" w:eastAsia="en-US" w:bidi="ar-SA"/>
              </w:rPr>
              <w:t>-</w:t>
            </w:r>
            <w:r>
              <w:rPr>
                <w:rFonts w:hint="eastAsia" w:ascii="仿宋_GB2312" w:hAnsi="仿宋_GB2312" w:eastAsia="仿宋_GB2312" w:cs="仿宋_GB2312"/>
                <w:kern w:val="0"/>
                <w:sz w:val="24"/>
                <w:szCs w:val="24"/>
                <w:highlight w:val="none"/>
                <w:lang w:val="en-US" w:eastAsia="zh-CN" w:bidi="ar-SA"/>
              </w:rPr>
              <w:t>9</w:t>
            </w:r>
            <w:r>
              <w:rPr>
                <w:rFonts w:hint="eastAsia" w:ascii="仿宋_GB2312" w:hAnsi="仿宋_GB2312" w:eastAsia="仿宋_GB2312" w:cs="仿宋_GB2312"/>
                <w:kern w:val="0"/>
                <w:sz w:val="24"/>
                <w:szCs w:val="24"/>
                <w:highlight w:val="none"/>
                <w:lang w:val="en-US" w:eastAsia="en-US" w:bidi="ar-SA"/>
              </w:rPr>
              <w:t>分</w:t>
            </w:r>
          </w:p>
          <w:p w14:paraId="52FFE442">
            <w:pPr>
              <w:pStyle w:val="48"/>
              <w:tabs>
                <w:tab w:val="left" w:pos="1701"/>
              </w:tabs>
              <w:spacing w:line="360" w:lineRule="exact"/>
              <w:ind w:firstLine="0" w:firstLineChars="0"/>
              <w:jc w:val="left"/>
              <w:rPr>
                <w:rFonts w:hint="default" w:ascii="仿宋_GB2312" w:hAnsi="仿宋_GB2312" w:eastAsia="仿宋_GB2312" w:cs="仿宋_GB2312"/>
                <w:sz w:val="24"/>
                <w:szCs w:val="24"/>
                <w:lang w:val="en-US"/>
              </w:rPr>
            </w:pPr>
            <w:r>
              <w:rPr>
                <w:rFonts w:hint="eastAsia" w:ascii="仿宋_GB2312" w:hAnsi="仿宋_GB2312" w:eastAsia="仿宋_GB2312" w:cs="仿宋_GB2312"/>
                <w:sz w:val="24"/>
                <w:szCs w:val="24"/>
                <w:lang w:val="en-US" w:eastAsia="zh-CN"/>
              </w:rPr>
              <w:t>样板报送要求：投标人按照《月饼报价清单》，每款月饼品种提供2个，共计24个样品数量。每个样品要求贴标标注月饼口味及规格。</w:t>
            </w:r>
          </w:p>
        </w:tc>
      </w:tr>
    </w:tbl>
    <w:p w14:paraId="5A52746A">
      <w:pPr>
        <w:pStyle w:val="49"/>
        <w:rPr>
          <w:rFonts w:ascii="仿宋_GB2312" w:hAnsi="仿宋_GB2312" w:eastAsia="仿宋_GB2312" w:cs="仿宋_GB2312"/>
          <w:b/>
          <w:bCs/>
          <w:sz w:val="40"/>
          <w:szCs w:val="40"/>
        </w:rPr>
      </w:pPr>
    </w:p>
    <w:sectPr>
      <w:headerReference r:id="rId3" w:type="default"/>
      <w:footerReference r:id="rId4" w:type="default"/>
      <w:pgSz w:w="11906" w:h="16838"/>
      <w:pgMar w:top="1440" w:right="1077" w:bottom="1440" w:left="1077"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Segoe UI Symbol">
    <w:panose1 w:val="020B0502040204020203"/>
    <w:charset w:val="00"/>
    <w:family w:val="swiss"/>
    <w:pitch w:val="default"/>
    <w:sig w:usb0="800001E3" w:usb1="1200FFEF" w:usb2="00040000" w:usb3="04000000" w:csb0="00000001" w:csb1="4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85F19F">
    <w:pPr>
      <w:pStyle w:val="1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FB32CA2">
                          <w:pPr>
                            <w:pStyle w:val="1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1FB32CA2">
                    <w:pPr>
                      <w:pStyle w:val="1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71665D">
    <w:pPr>
      <w:pStyle w:val="1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5"/>
    <w:multiLevelType w:val="multilevel"/>
    <w:tmpl w:val="00000005"/>
    <w:lvl w:ilvl="0" w:tentative="0">
      <w:start w:val="3"/>
      <w:numFmt w:val="japaneseCounting"/>
      <w:pStyle w:val="46"/>
      <w:lvlText w:val="第%1章"/>
      <w:lvlJc w:val="left"/>
      <w:pPr>
        <w:tabs>
          <w:tab w:val="left" w:pos="1455"/>
        </w:tabs>
        <w:ind w:left="1455" w:hanging="1455"/>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WM0OGQyMGExYTRlOWQ0ZTc3YTk2YjcyMDE5MDExYWEifQ=="/>
    <w:docVar w:name="KSO_WPS_MARK_KEY" w:val="a95cc388-fcf7-45d2-9c21-ee678e50237e"/>
  </w:docVars>
  <w:rsids>
    <w:rsidRoot w:val="028143E5"/>
    <w:rsid w:val="000B1DEC"/>
    <w:rsid w:val="000D5741"/>
    <w:rsid w:val="000D7EEB"/>
    <w:rsid w:val="0015335D"/>
    <w:rsid w:val="00182905"/>
    <w:rsid w:val="001A2968"/>
    <w:rsid w:val="001B5838"/>
    <w:rsid w:val="001E0BAC"/>
    <w:rsid w:val="001E4EDC"/>
    <w:rsid w:val="001F6029"/>
    <w:rsid w:val="00222F19"/>
    <w:rsid w:val="0023250D"/>
    <w:rsid w:val="00237E7D"/>
    <w:rsid w:val="00272089"/>
    <w:rsid w:val="002866E8"/>
    <w:rsid w:val="00293624"/>
    <w:rsid w:val="002937B5"/>
    <w:rsid w:val="002C368A"/>
    <w:rsid w:val="00301E8C"/>
    <w:rsid w:val="00310C33"/>
    <w:rsid w:val="00333376"/>
    <w:rsid w:val="003766E4"/>
    <w:rsid w:val="00400047"/>
    <w:rsid w:val="00407B4E"/>
    <w:rsid w:val="00460029"/>
    <w:rsid w:val="00515C5E"/>
    <w:rsid w:val="005A013A"/>
    <w:rsid w:val="005E4233"/>
    <w:rsid w:val="00632B02"/>
    <w:rsid w:val="00647AFE"/>
    <w:rsid w:val="00653579"/>
    <w:rsid w:val="00680278"/>
    <w:rsid w:val="00680C2D"/>
    <w:rsid w:val="006C2AD4"/>
    <w:rsid w:val="00763026"/>
    <w:rsid w:val="00791D0B"/>
    <w:rsid w:val="007958E0"/>
    <w:rsid w:val="007A272E"/>
    <w:rsid w:val="007A51F1"/>
    <w:rsid w:val="00802D25"/>
    <w:rsid w:val="008364DF"/>
    <w:rsid w:val="0086512F"/>
    <w:rsid w:val="008970A9"/>
    <w:rsid w:val="008A0FEA"/>
    <w:rsid w:val="008F44F0"/>
    <w:rsid w:val="00940390"/>
    <w:rsid w:val="00946AD8"/>
    <w:rsid w:val="00962BED"/>
    <w:rsid w:val="00970E6D"/>
    <w:rsid w:val="00975490"/>
    <w:rsid w:val="009F4DCD"/>
    <w:rsid w:val="00A0568B"/>
    <w:rsid w:val="00A227F7"/>
    <w:rsid w:val="00A54052"/>
    <w:rsid w:val="00A7499C"/>
    <w:rsid w:val="00A90D22"/>
    <w:rsid w:val="00A949D1"/>
    <w:rsid w:val="00AB3D22"/>
    <w:rsid w:val="00AC1CAD"/>
    <w:rsid w:val="00AC5AEB"/>
    <w:rsid w:val="00B0567E"/>
    <w:rsid w:val="00B2090B"/>
    <w:rsid w:val="00B3773E"/>
    <w:rsid w:val="00BB6EF1"/>
    <w:rsid w:val="00BE0835"/>
    <w:rsid w:val="00C218E6"/>
    <w:rsid w:val="00C25826"/>
    <w:rsid w:val="00DC048D"/>
    <w:rsid w:val="00DD39DB"/>
    <w:rsid w:val="00E27288"/>
    <w:rsid w:val="00E34CE8"/>
    <w:rsid w:val="00E90CFF"/>
    <w:rsid w:val="00EE60AF"/>
    <w:rsid w:val="00EF2C6C"/>
    <w:rsid w:val="00F12250"/>
    <w:rsid w:val="00F172E1"/>
    <w:rsid w:val="00F8247F"/>
    <w:rsid w:val="00FE6C92"/>
    <w:rsid w:val="012226E8"/>
    <w:rsid w:val="015363DB"/>
    <w:rsid w:val="01C154E0"/>
    <w:rsid w:val="01D70512"/>
    <w:rsid w:val="020010B3"/>
    <w:rsid w:val="0216427A"/>
    <w:rsid w:val="02236A86"/>
    <w:rsid w:val="02306473"/>
    <w:rsid w:val="02454DC9"/>
    <w:rsid w:val="02504F97"/>
    <w:rsid w:val="028143E5"/>
    <w:rsid w:val="02D46145"/>
    <w:rsid w:val="032F599C"/>
    <w:rsid w:val="035053D4"/>
    <w:rsid w:val="03793EC1"/>
    <w:rsid w:val="03952535"/>
    <w:rsid w:val="03C020B7"/>
    <w:rsid w:val="03C07382"/>
    <w:rsid w:val="04490CF2"/>
    <w:rsid w:val="04784101"/>
    <w:rsid w:val="04E35FEA"/>
    <w:rsid w:val="04E53C77"/>
    <w:rsid w:val="04ED41A7"/>
    <w:rsid w:val="052C6D8B"/>
    <w:rsid w:val="05317236"/>
    <w:rsid w:val="05D610DF"/>
    <w:rsid w:val="06092CD1"/>
    <w:rsid w:val="06447858"/>
    <w:rsid w:val="064C2819"/>
    <w:rsid w:val="066B0162"/>
    <w:rsid w:val="066D39BE"/>
    <w:rsid w:val="06AF0770"/>
    <w:rsid w:val="06B238FA"/>
    <w:rsid w:val="07747449"/>
    <w:rsid w:val="077F6CC7"/>
    <w:rsid w:val="079429FD"/>
    <w:rsid w:val="08036534"/>
    <w:rsid w:val="082D048F"/>
    <w:rsid w:val="083F3022"/>
    <w:rsid w:val="0847419E"/>
    <w:rsid w:val="0922785F"/>
    <w:rsid w:val="092A3D98"/>
    <w:rsid w:val="096D5B06"/>
    <w:rsid w:val="09AD2157"/>
    <w:rsid w:val="09DB3168"/>
    <w:rsid w:val="0A4422E6"/>
    <w:rsid w:val="0A546CFD"/>
    <w:rsid w:val="0A960E3D"/>
    <w:rsid w:val="0B497D12"/>
    <w:rsid w:val="0B4C4632"/>
    <w:rsid w:val="0B6D4F83"/>
    <w:rsid w:val="0BA930FD"/>
    <w:rsid w:val="0BC84FF5"/>
    <w:rsid w:val="0C1C796E"/>
    <w:rsid w:val="0C2D2D0D"/>
    <w:rsid w:val="0C7F5E48"/>
    <w:rsid w:val="0C8E576F"/>
    <w:rsid w:val="0CAE3659"/>
    <w:rsid w:val="0CDA69A0"/>
    <w:rsid w:val="0D06206E"/>
    <w:rsid w:val="0D28572B"/>
    <w:rsid w:val="0D40797F"/>
    <w:rsid w:val="0D7A4A46"/>
    <w:rsid w:val="0DAE2303"/>
    <w:rsid w:val="0DD93147"/>
    <w:rsid w:val="0DF33CF1"/>
    <w:rsid w:val="0DFF7844"/>
    <w:rsid w:val="0E141CA7"/>
    <w:rsid w:val="0E3C75E8"/>
    <w:rsid w:val="0E68383D"/>
    <w:rsid w:val="0F032819"/>
    <w:rsid w:val="0F942CC0"/>
    <w:rsid w:val="0FA66BBA"/>
    <w:rsid w:val="0FAF74CA"/>
    <w:rsid w:val="0FE51872"/>
    <w:rsid w:val="10207C87"/>
    <w:rsid w:val="105D150A"/>
    <w:rsid w:val="10726D08"/>
    <w:rsid w:val="10B576E3"/>
    <w:rsid w:val="116E2B13"/>
    <w:rsid w:val="117F1CC3"/>
    <w:rsid w:val="118A0FD0"/>
    <w:rsid w:val="11B2581C"/>
    <w:rsid w:val="11E55D6C"/>
    <w:rsid w:val="11EB2EB1"/>
    <w:rsid w:val="12041D21"/>
    <w:rsid w:val="12206319"/>
    <w:rsid w:val="12876C72"/>
    <w:rsid w:val="128E1E81"/>
    <w:rsid w:val="129D2A5B"/>
    <w:rsid w:val="13215EBB"/>
    <w:rsid w:val="1359284E"/>
    <w:rsid w:val="13AB19F6"/>
    <w:rsid w:val="13BE4771"/>
    <w:rsid w:val="13C74EE5"/>
    <w:rsid w:val="13C84D7E"/>
    <w:rsid w:val="13EB5F57"/>
    <w:rsid w:val="13F36C89"/>
    <w:rsid w:val="141241FB"/>
    <w:rsid w:val="144D662C"/>
    <w:rsid w:val="14654D61"/>
    <w:rsid w:val="149E7662"/>
    <w:rsid w:val="14EA7206"/>
    <w:rsid w:val="159C3FEF"/>
    <w:rsid w:val="15B701FA"/>
    <w:rsid w:val="16111742"/>
    <w:rsid w:val="1616756C"/>
    <w:rsid w:val="16193D46"/>
    <w:rsid w:val="168D6206"/>
    <w:rsid w:val="16B110DD"/>
    <w:rsid w:val="16BE0858"/>
    <w:rsid w:val="16D20659"/>
    <w:rsid w:val="170F3BE3"/>
    <w:rsid w:val="17644C72"/>
    <w:rsid w:val="178825AE"/>
    <w:rsid w:val="17FB0FCD"/>
    <w:rsid w:val="17FD7FE9"/>
    <w:rsid w:val="187D4A59"/>
    <w:rsid w:val="18B90942"/>
    <w:rsid w:val="18BA2284"/>
    <w:rsid w:val="18C34F8B"/>
    <w:rsid w:val="191D4CB5"/>
    <w:rsid w:val="19700F08"/>
    <w:rsid w:val="19747198"/>
    <w:rsid w:val="19EA6AAF"/>
    <w:rsid w:val="1AA80CB9"/>
    <w:rsid w:val="1AED28BA"/>
    <w:rsid w:val="1B0D514B"/>
    <w:rsid w:val="1B4A5CB8"/>
    <w:rsid w:val="1BC11A92"/>
    <w:rsid w:val="1BD468A2"/>
    <w:rsid w:val="1CD33EB4"/>
    <w:rsid w:val="1D075197"/>
    <w:rsid w:val="1D3F1E0A"/>
    <w:rsid w:val="1D4D49A3"/>
    <w:rsid w:val="1D617DC0"/>
    <w:rsid w:val="1DA91B49"/>
    <w:rsid w:val="1DC60177"/>
    <w:rsid w:val="1E3B5B72"/>
    <w:rsid w:val="1E403142"/>
    <w:rsid w:val="1E6D6FF8"/>
    <w:rsid w:val="1EB50762"/>
    <w:rsid w:val="1ECC2895"/>
    <w:rsid w:val="1F192994"/>
    <w:rsid w:val="1F2B2044"/>
    <w:rsid w:val="1F8D2F48"/>
    <w:rsid w:val="1F8F7D90"/>
    <w:rsid w:val="1FEE4B60"/>
    <w:rsid w:val="2003756B"/>
    <w:rsid w:val="203F1A92"/>
    <w:rsid w:val="207B66B3"/>
    <w:rsid w:val="20C660D5"/>
    <w:rsid w:val="20E379AE"/>
    <w:rsid w:val="20F40FA1"/>
    <w:rsid w:val="216B481E"/>
    <w:rsid w:val="219F5BB6"/>
    <w:rsid w:val="21BA145D"/>
    <w:rsid w:val="21D47DD5"/>
    <w:rsid w:val="22401962"/>
    <w:rsid w:val="225C42C2"/>
    <w:rsid w:val="22671A17"/>
    <w:rsid w:val="22715F0F"/>
    <w:rsid w:val="22DF2A83"/>
    <w:rsid w:val="23171F20"/>
    <w:rsid w:val="235940A9"/>
    <w:rsid w:val="23711B3F"/>
    <w:rsid w:val="239212CB"/>
    <w:rsid w:val="23AD74CB"/>
    <w:rsid w:val="24331668"/>
    <w:rsid w:val="243932FC"/>
    <w:rsid w:val="24437194"/>
    <w:rsid w:val="24462612"/>
    <w:rsid w:val="2473247C"/>
    <w:rsid w:val="24E37F11"/>
    <w:rsid w:val="254E4EBA"/>
    <w:rsid w:val="256065E1"/>
    <w:rsid w:val="25944229"/>
    <w:rsid w:val="25BE30F8"/>
    <w:rsid w:val="25C4339F"/>
    <w:rsid w:val="25C90BD5"/>
    <w:rsid w:val="261D1FBA"/>
    <w:rsid w:val="261D6994"/>
    <w:rsid w:val="26775BC8"/>
    <w:rsid w:val="26A73012"/>
    <w:rsid w:val="26AF70B6"/>
    <w:rsid w:val="26BA5A95"/>
    <w:rsid w:val="27051414"/>
    <w:rsid w:val="271F5894"/>
    <w:rsid w:val="28016F46"/>
    <w:rsid w:val="28193E21"/>
    <w:rsid w:val="286036CB"/>
    <w:rsid w:val="28926C90"/>
    <w:rsid w:val="28ED0D31"/>
    <w:rsid w:val="28F039B6"/>
    <w:rsid w:val="296C128F"/>
    <w:rsid w:val="29A96F17"/>
    <w:rsid w:val="29D87A35"/>
    <w:rsid w:val="29E97F2E"/>
    <w:rsid w:val="29EC23D0"/>
    <w:rsid w:val="29F02049"/>
    <w:rsid w:val="2A194092"/>
    <w:rsid w:val="2A3B6454"/>
    <w:rsid w:val="2A5F10CB"/>
    <w:rsid w:val="2B9221F5"/>
    <w:rsid w:val="2BA051BE"/>
    <w:rsid w:val="2BA653D7"/>
    <w:rsid w:val="2BA70F21"/>
    <w:rsid w:val="2BA72A52"/>
    <w:rsid w:val="2BAC2056"/>
    <w:rsid w:val="2BE21C61"/>
    <w:rsid w:val="2BF43A6B"/>
    <w:rsid w:val="2C663C89"/>
    <w:rsid w:val="2C680FE8"/>
    <w:rsid w:val="2C764A8E"/>
    <w:rsid w:val="2C965CC3"/>
    <w:rsid w:val="2CE9283B"/>
    <w:rsid w:val="2CF33564"/>
    <w:rsid w:val="2D214A86"/>
    <w:rsid w:val="2D724EA0"/>
    <w:rsid w:val="2D940E06"/>
    <w:rsid w:val="2DB11966"/>
    <w:rsid w:val="2DB12284"/>
    <w:rsid w:val="2DC311EC"/>
    <w:rsid w:val="2DE5725A"/>
    <w:rsid w:val="2E7F53B6"/>
    <w:rsid w:val="2EF16E81"/>
    <w:rsid w:val="2EF53AD4"/>
    <w:rsid w:val="2EF77ED4"/>
    <w:rsid w:val="2F2C7572"/>
    <w:rsid w:val="2F457252"/>
    <w:rsid w:val="2F5305E2"/>
    <w:rsid w:val="2F544EB3"/>
    <w:rsid w:val="2F606D7E"/>
    <w:rsid w:val="2F927575"/>
    <w:rsid w:val="2FA522F3"/>
    <w:rsid w:val="2FBE1D43"/>
    <w:rsid w:val="2FC433B0"/>
    <w:rsid w:val="30674499"/>
    <w:rsid w:val="30DA5FB3"/>
    <w:rsid w:val="30EC2E30"/>
    <w:rsid w:val="310D77FB"/>
    <w:rsid w:val="31381828"/>
    <w:rsid w:val="314D2A6F"/>
    <w:rsid w:val="319D6C72"/>
    <w:rsid w:val="322748ED"/>
    <w:rsid w:val="325B51AB"/>
    <w:rsid w:val="32C5265C"/>
    <w:rsid w:val="32CC7242"/>
    <w:rsid w:val="332A6400"/>
    <w:rsid w:val="3330256F"/>
    <w:rsid w:val="334760AD"/>
    <w:rsid w:val="33B757FC"/>
    <w:rsid w:val="34B26361"/>
    <w:rsid w:val="35160D9C"/>
    <w:rsid w:val="351F7E3B"/>
    <w:rsid w:val="35832060"/>
    <w:rsid w:val="35B31A2A"/>
    <w:rsid w:val="35D26A5B"/>
    <w:rsid w:val="35D3411C"/>
    <w:rsid w:val="360B0081"/>
    <w:rsid w:val="3613621A"/>
    <w:rsid w:val="364C1689"/>
    <w:rsid w:val="367373E0"/>
    <w:rsid w:val="373553B6"/>
    <w:rsid w:val="37BF4F82"/>
    <w:rsid w:val="381E3846"/>
    <w:rsid w:val="38337D59"/>
    <w:rsid w:val="386B203C"/>
    <w:rsid w:val="387D1EBD"/>
    <w:rsid w:val="388B33D1"/>
    <w:rsid w:val="38B431F7"/>
    <w:rsid w:val="38CF15CD"/>
    <w:rsid w:val="39187C04"/>
    <w:rsid w:val="39C42A21"/>
    <w:rsid w:val="39E002CA"/>
    <w:rsid w:val="3A35120E"/>
    <w:rsid w:val="3A5804C9"/>
    <w:rsid w:val="3A887EF3"/>
    <w:rsid w:val="3A9315A8"/>
    <w:rsid w:val="3AFB7CD2"/>
    <w:rsid w:val="3B253993"/>
    <w:rsid w:val="3BE057E9"/>
    <w:rsid w:val="3D1F708B"/>
    <w:rsid w:val="3D49081C"/>
    <w:rsid w:val="3D54332A"/>
    <w:rsid w:val="3D5742AE"/>
    <w:rsid w:val="3D8B4B09"/>
    <w:rsid w:val="3DA7027A"/>
    <w:rsid w:val="3DC213DF"/>
    <w:rsid w:val="3E2812A3"/>
    <w:rsid w:val="3E322D18"/>
    <w:rsid w:val="3E573D09"/>
    <w:rsid w:val="3E784B90"/>
    <w:rsid w:val="3F03223E"/>
    <w:rsid w:val="3FAC0006"/>
    <w:rsid w:val="40061789"/>
    <w:rsid w:val="40192BB8"/>
    <w:rsid w:val="40800DEA"/>
    <w:rsid w:val="40882E6C"/>
    <w:rsid w:val="40A35A86"/>
    <w:rsid w:val="40E8666D"/>
    <w:rsid w:val="413C5593"/>
    <w:rsid w:val="41446601"/>
    <w:rsid w:val="418212BD"/>
    <w:rsid w:val="42703746"/>
    <w:rsid w:val="42A82FE5"/>
    <w:rsid w:val="42E45EE2"/>
    <w:rsid w:val="43042F4A"/>
    <w:rsid w:val="433E187C"/>
    <w:rsid w:val="43472D70"/>
    <w:rsid w:val="43A97591"/>
    <w:rsid w:val="43DB5D75"/>
    <w:rsid w:val="448A7438"/>
    <w:rsid w:val="449626BA"/>
    <w:rsid w:val="44DE595B"/>
    <w:rsid w:val="45457F69"/>
    <w:rsid w:val="457F5E93"/>
    <w:rsid w:val="45A35AD8"/>
    <w:rsid w:val="45C322AA"/>
    <w:rsid w:val="460C7D23"/>
    <w:rsid w:val="465F36CB"/>
    <w:rsid w:val="46D467C4"/>
    <w:rsid w:val="46DC420F"/>
    <w:rsid w:val="47751158"/>
    <w:rsid w:val="47A45B98"/>
    <w:rsid w:val="47A50E5C"/>
    <w:rsid w:val="47AB51B9"/>
    <w:rsid w:val="47C01017"/>
    <w:rsid w:val="481D1FDE"/>
    <w:rsid w:val="48951F0E"/>
    <w:rsid w:val="48A408B4"/>
    <w:rsid w:val="48BF2EAA"/>
    <w:rsid w:val="48C43E6E"/>
    <w:rsid w:val="48F134D8"/>
    <w:rsid w:val="48FF54CE"/>
    <w:rsid w:val="49316623"/>
    <w:rsid w:val="49594982"/>
    <w:rsid w:val="4974192B"/>
    <w:rsid w:val="499C3073"/>
    <w:rsid w:val="49A94FE8"/>
    <w:rsid w:val="4A451F5C"/>
    <w:rsid w:val="4ACC02FE"/>
    <w:rsid w:val="4ADD0B44"/>
    <w:rsid w:val="4B2E1DFD"/>
    <w:rsid w:val="4C136084"/>
    <w:rsid w:val="4C5639AD"/>
    <w:rsid w:val="4C563DAE"/>
    <w:rsid w:val="4C6360CA"/>
    <w:rsid w:val="4C6F61F2"/>
    <w:rsid w:val="4CAA5AA7"/>
    <w:rsid w:val="4CF002C8"/>
    <w:rsid w:val="4D1B2411"/>
    <w:rsid w:val="4D926DFD"/>
    <w:rsid w:val="4DA25B6E"/>
    <w:rsid w:val="4E3450DC"/>
    <w:rsid w:val="4E545991"/>
    <w:rsid w:val="4E7B0068"/>
    <w:rsid w:val="4E8914D5"/>
    <w:rsid w:val="4EC74E0A"/>
    <w:rsid w:val="4F737FE7"/>
    <w:rsid w:val="4F944EBF"/>
    <w:rsid w:val="4FEB0F2B"/>
    <w:rsid w:val="50096F88"/>
    <w:rsid w:val="504C3DE7"/>
    <w:rsid w:val="50CB6B3C"/>
    <w:rsid w:val="5127387D"/>
    <w:rsid w:val="51453FF0"/>
    <w:rsid w:val="515157DD"/>
    <w:rsid w:val="517D6B7D"/>
    <w:rsid w:val="519531C9"/>
    <w:rsid w:val="51C94C0B"/>
    <w:rsid w:val="51D677D1"/>
    <w:rsid w:val="520E6EFC"/>
    <w:rsid w:val="526409A1"/>
    <w:rsid w:val="52DA5A66"/>
    <w:rsid w:val="52DB10B0"/>
    <w:rsid w:val="52ED4D9B"/>
    <w:rsid w:val="52F21F55"/>
    <w:rsid w:val="532C2755"/>
    <w:rsid w:val="5386726D"/>
    <w:rsid w:val="53994DCD"/>
    <w:rsid w:val="53E3402E"/>
    <w:rsid w:val="55147C23"/>
    <w:rsid w:val="552272D2"/>
    <w:rsid w:val="554871F1"/>
    <w:rsid w:val="5560481F"/>
    <w:rsid w:val="55C34F24"/>
    <w:rsid w:val="55CF7E2B"/>
    <w:rsid w:val="55FA0B35"/>
    <w:rsid w:val="56064695"/>
    <w:rsid w:val="56533449"/>
    <w:rsid w:val="567A298E"/>
    <w:rsid w:val="568855ED"/>
    <w:rsid w:val="56A355D3"/>
    <w:rsid w:val="572D6B47"/>
    <w:rsid w:val="57866071"/>
    <w:rsid w:val="579831C5"/>
    <w:rsid w:val="57B317F1"/>
    <w:rsid w:val="57DA7B88"/>
    <w:rsid w:val="57E2333B"/>
    <w:rsid w:val="58415125"/>
    <w:rsid w:val="584340B0"/>
    <w:rsid w:val="58464430"/>
    <w:rsid w:val="58471506"/>
    <w:rsid w:val="584A56F3"/>
    <w:rsid w:val="588F3C8E"/>
    <w:rsid w:val="58900246"/>
    <w:rsid w:val="58A747C6"/>
    <w:rsid w:val="590D65AA"/>
    <w:rsid w:val="59BD32BD"/>
    <w:rsid w:val="59E35308"/>
    <w:rsid w:val="5A160FDB"/>
    <w:rsid w:val="5A2A7C7B"/>
    <w:rsid w:val="5A573BDD"/>
    <w:rsid w:val="5A6516AD"/>
    <w:rsid w:val="5B1C2265"/>
    <w:rsid w:val="5BA74225"/>
    <w:rsid w:val="5C017881"/>
    <w:rsid w:val="5C624B8E"/>
    <w:rsid w:val="5C6E089F"/>
    <w:rsid w:val="5C6F4394"/>
    <w:rsid w:val="5CA75558"/>
    <w:rsid w:val="5CE27B8D"/>
    <w:rsid w:val="5D0E230A"/>
    <w:rsid w:val="5D4F6B3E"/>
    <w:rsid w:val="5DC60DBA"/>
    <w:rsid w:val="5E4D7446"/>
    <w:rsid w:val="5E566560"/>
    <w:rsid w:val="5E652175"/>
    <w:rsid w:val="5E661035"/>
    <w:rsid w:val="5F3833E6"/>
    <w:rsid w:val="5F6D7533"/>
    <w:rsid w:val="5FA752D7"/>
    <w:rsid w:val="5FF94F03"/>
    <w:rsid w:val="600F2399"/>
    <w:rsid w:val="6012002C"/>
    <w:rsid w:val="602776E2"/>
    <w:rsid w:val="603B6713"/>
    <w:rsid w:val="605F2763"/>
    <w:rsid w:val="60746A4B"/>
    <w:rsid w:val="6078076D"/>
    <w:rsid w:val="60807659"/>
    <w:rsid w:val="60937300"/>
    <w:rsid w:val="60CA70B1"/>
    <w:rsid w:val="60F8107F"/>
    <w:rsid w:val="614B102D"/>
    <w:rsid w:val="616F4ACC"/>
    <w:rsid w:val="617F5261"/>
    <w:rsid w:val="61C64CD9"/>
    <w:rsid w:val="620B3062"/>
    <w:rsid w:val="624C6EEF"/>
    <w:rsid w:val="62552BB5"/>
    <w:rsid w:val="625A6C6C"/>
    <w:rsid w:val="62AB4341"/>
    <w:rsid w:val="62D90A3C"/>
    <w:rsid w:val="63617ED8"/>
    <w:rsid w:val="636649C5"/>
    <w:rsid w:val="63C94F54"/>
    <w:rsid w:val="642E2B0E"/>
    <w:rsid w:val="64405216"/>
    <w:rsid w:val="649C5F21"/>
    <w:rsid w:val="64DB7ACC"/>
    <w:rsid w:val="64F43D9F"/>
    <w:rsid w:val="653F572A"/>
    <w:rsid w:val="65603C1B"/>
    <w:rsid w:val="65646CE3"/>
    <w:rsid w:val="65670581"/>
    <w:rsid w:val="65A550CF"/>
    <w:rsid w:val="65CE6293"/>
    <w:rsid w:val="65F31549"/>
    <w:rsid w:val="66283BD0"/>
    <w:rsid w:val="66362AE3"/>
    <w:rsid w:val="66447C9D"/>
    <w:rsid w:val="66770CAA"/>
    <w:rsid w:val="66B75538"/>
    <w:rsid w:val="678E0B23"/>
    <w:rsid w:val="67A91325"/>
    <w:rsid w:val="680A598F"/>
    <w:rsid w:val="681E2B15"/>
    <w:rsid w:val="683E5856"/>
    <w:rsid w:val="68464DC5"/>
    <w:rsid w:val="68F9073C"/>
    <w:rsid w:val="68FA4F96"/>
    <w:rsid w:val="690602C4"/>
    <w:rsid w:val="69526941"/>
    <w:rsid w:val="69652166"/>
    <w:rsid w:val="696E222B"/>
    <w:rsid w:val="698B02B8"/>
    <w:rsid w:val="69DB75EA"/>
    <w:rsid w:val="6A8219F1"/>
    <w:rsid w:val="6A871732"/>
    <w:rsid w:val="6A892D47"/>
    <w:rsid w:val="6AE24FE6"/>
    <w:rsid w:val="6AF6662F"/>
    <w:rsid w:val="6B902CAD"/>
    <w:rsid w:val="6BAB3093"/>
    <w:rsid w:val="6BF42A96"/>
    <w:rsid w:val="6C831372"/>
    <w:rsid w:val="6CF43042"/>
    <w:rsid w:val="6D6655C2"/>
    <w:rsid w:val="6D785A21"/>
    <w:rsid w:val="6E8A2020"/>
    <w:rsid w:val="6EA65658"/>
    <w:rsid w:val="6EB25F85"/>
    <w:rsid w:val="6EBB0EBA"/>
    <w:rsid w:val="6EEA2761"/>
    <w:rsid w:val="6EED7D49"/>
    <w:rsid w:val="6F464A26"/>
    <w:rsid w:val="6F520671"/>
    <w:rsid w:val="6FC4011D"/>
    <w:rsid w:val="6FCC1C88"/>
    <w:rsid w:val="6FD92F46"/>
    <w:rsid w:val="7031480A"/>
    <w:rsid w:val="70563546"/>
    <w:rsid w:val="706011EA"/>
    <w:rsid w:val="70B7426A"/>
    <w:rsid w:val="70DC1E23"/>
    <w:rsid w:val="71386CCF"/>
    <w:rsid w:val="71687C37"/>
    <w:rsid w:val="71A3637F"/>
    <w:rsid w:val="71FF07E3"/>
    <w:rsid w:val="724B3434"/>
    <w:rsid w:val="72556331"/>
    <w:rsid w:val="7295118A"/>
    <w:rsid w:val="72AE3C93"/>
    <w:rsid w:val="731D5BEB"/>
    <w:rsid w:val="732C4B81"/>
    <w:rsid w:val="73524DC0"/>
    <w:rsid w:val="737B3488"/>
    <w:rsid w:val="73B50543"/>
    <w:rsid w:val="74005DEF"/>
    <w:rsid w:val="74005E6C"/>
    <w:rsid w:val="74155579"/>
    <w:rsid w:val="74BB2626"/>
    <w:rsid w:val="74E10D4F"/>
    <w:rsid w:val="750710F3"/>
    <w:rsid w:val="75327854"/>
    <w:rsid w:val="75581C92"/>
    <w:rsid w:val="75C622C6"/>
    <w:rsid w:val="75D90A3A"/>
    <w:rsid w:val="771F0CBB"/>
    <w:rsid w:val="777032C5"/>
    <w:rsid w:val="778E5E41"/>
    <w:rsid w:val="77DB72D8"/>
    <w:rsid w:val="77E67D42"/>
    <w:rsid w:val="788C40F1"/>
    <w:rsid w:val="78C34B56"/>
    <w:rsid w:val="78F9265F"/>
    <w:rsid w:val="7900183A"/>
    <w:rsid w:val="791F6B45"/>
    <w:rsid w:val="797B0975"/>
    <w:rsid w:val="79B069A0"/>
    <w:rsid w:val="79B55907"/>
    <w:rsid w:val="79C31852"/>
    <w:rsid w:val="79D4536F"/>
    <w:rsid w:val="7A256073"/>
    <w:rsid w:val="7A762878"/>
    <w:rsid w:val="7AAA098A"/>
    <w:rsid w:val="7B242713"/>
    <w:rsid w:val="7B2849C9"/>
    <w:rsid w:val="7BA71AF0"/>
    <w:rsid w:val="7C817D22"/>
    <w:rsid w:val="7CD1072A"/>
    <w:rsid w:val="7CE12101"/>
    <w:rsid w:val="7D147F85"/>
    <w:rsid w:val="7D2863F0"/>
    <w:rsid w:val="7D40500C"/>
    <w:rsid w:val="7E40320E"/>
    <w:rsid w:val="7EEC02DF"/>
    <w:rsid w:val="7F1B15B4"/>
    <w:rsid w:val="7F71407E"/>
    <w:rsid w:val="7F7678E7"/>
    <w:rsid w:val="7F8712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0" w:semiHidden="0" w:name="Plain Text"/>
    <w:lsdException w:unhideWhenUsed="0" w:uiPriority="0" w:semiHidden="0" w:name="E-mail Signature"/>
    <w:lsdException w:qFormat="1" w:uiPriority="99"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4">
    <w:name w:val="heading 1"/>
    <w:basedOn w:val="1"/>
    <w:next w:val="1"/>
    <w:qFormat/>
    <w:uiPriority w:val="0"/>
    <w:pPr>
      <w:keepNext/>
      <w:keepLines/>
      <w:spacing w:before="340" w:after="330" w:line="578" w:lineRule="auto"/>
      <w:jc w:val="center"/>
      <w:outlineLvl w:val="0"/>
    </w:pPr>
    <w:rPr>
      <w:rFonts w:ascii="Times New Roman" w:hAnsi="Times New Roman"/>
      <w:b/>
      <w:bCs/>
      <w:kern w:val="44"/>
      <w:sz w:val="44"/>
      <w:szCs w:val="44"/>
    </w:rPr>
  </w:style>
  <w:style w:type="paragraph" w:styleId="5">
    <w:name w:val="heading 2"/>
    <w:basedOn w:val="1"/>
    <w:next w:val="1"/>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semiHidden/>
    <w:qFormat/>
    <w:uiPriority w:val="0"/>
    <w:pPr>
      <w:ind w:firstLine="420" w:firstLineChars="200"/>
    </w:pPr>
    <w:rPr>
      <w:rFonts w:ascii="Times New Roman" w:hAnsi="Times New Roman"/>
      <w:kern w:val="0"/>
      <w:sz w:val="20"/>
      <w:szCs w:val="24"/>
    </w:rPr>
  </w:style>
  <w:style w:type="paragraph" w:styleId="3">
    <w:name w:val="Body Text Indent"/>
    <w:basedOn w:val="1"/>
    <w:unhideWhenUsed/>
    <w:qFormat/>
    <w:uiPriority w:val="99"/>
    <w:pPr>
      <w:spacing w:after="120"/>
      <w:ind w:left="420" w:leftChars="200"/>
    </w:pPr>
  </w:style>
  <w:style w:type="paragraph" w:styleId="6">
    <w:name w:val="List 3"/>
    <w:basedOn w:val="1"/>
    <w:qFormat/>
    <w:uiPriority w:val="0"/>
    <w:pPr>
      <w:ind w:left="100" w:leftChars="400" w:hanging="200" w:hangingChars="200"/>
    </w:pPr>
    <w:rPr>
      <w:rFonts w:ascii="Times New Roman" w:hAnsi="Times New Roman"/>
      <w:szCs w:val="24"/>
    </w:rPr>
  </w:style>
  <w:style w:type="paragraph" w:styleId="7">
    <w:name w:val="index 8"/>
    <w:basedOn w:val="1"/>
    <w:next w:val="1"/>
    <w:semiHidden/>
    <w:qFormat/>
    <w:uiPriority w:val="0"/>
    <w:pPr>
      <w:ind w:left="1680" w:hanging="210"/>
      <w:jc w:val="left"/>
    </w:pPr>
    <w:rPr>
      <w:rFonts w:ascii="Times New Roman" w:hAnsi="Times New Roman"/>
      <w:sz w:val="20"/>
      <w:szCs w:val="20"/>
    </w:rPr>
  </w:style>
  <w:style w:type="paragraph" w:styleId="8">
    <w:name w:val="Normal Indent"/>
    <w:basedOn w:val="1"/>
    <w:qFormat/>
    <w:uiPriority w:val="0"/>
    <w:pPr>
      <w:ind w:firstLine="420"/>
    </w:pPr>
  </w:style>
  <w:style w:type="paragraph" w:styleId="9">
    <w:name w:val="annotation text"/>
    <w:basedOn w:val="1"/>
    <w:qFormat/>
    <w:uiPriority w:val="0"/>
    <w:pPr>
      <w:jc w:val="left"/>
    </w:pPr>
    <w:rPr>
      <w:rFonts w:ascii="Times New Roman" w:hAnsi="Times New Roman"/>
      <w:kern w:val="0"/>
      <w:sz w:val="20"/>
      <w:szCs w:val="20"/>
    </w:rPr>
  </w:style>
  <w:style w:type="paragraph" w:styleId="10">
    <w:name w:val="Body Text"/>
    <w:basedOn w:val="1"/>
    <w:next w:val="1"/>
    <w:qFormat/>
    <w:uiPriority w:val="1"/>
    <w:pPr>
      <w:ind w:left="779" w:firstLine="641"/>
      <w:jc w:val="left"/>
    </w:pPr>
    <w:rPr>
      <w:rFonts w:ascii="宋体" w:hAnsi="宋体"/>
      <w:kern w:val="0"/>
      <w:sz w:val="32"/>
      <w:szCs w:val="32"/>
      <w:lang w:eastAsia="en-US"/>
    </w:rPr>
  </w:style>
  <w:style w:type="paragraph" w:styleId="11">
    <w:name w:val="Plain Text"/>
    <w:basedOn w:val="1"/>
    <w:next w:val="7"/>
    <w:unhideWhenUsed/>
    <w:qFormat/>
    <w:uiPriority w:val="0"/>
    <w:rPr>
      <w:rFonts w:ascii="宋体" w:hAnsi="Courier New" w:eastAsiaTheme="minorEastAsia" w:cstheme="minorBidi"/>
      <w:szCs w:val="21"/>
    </w:rPr>
  </w:style>
  <w:style w:type="paragraph" w:styleId="12">
    <w:name w:val="Balloon Text"/>
    <w:basedOn w:val="1"/>
    <w:link w:val="32"/>
    <w:qFormat/>
    <w:uiPriority w:val="0"/>
    <w:rPr>
      <w:sz w:val="18"/>
      <w:szCs w:val="18"/>
    </w:rPr>
  </w:style>
  <w:style w:type="paragraph" w:styleId="13">
    <w:name w:val="footer"/>
    <w:basedOn w:val="1"/>
    <w:unhideWhenUsed/>
    <w:qFormat/>
    <w:uiPriority w:val="99"/>
    <w:pPr>
      <w:tabs>
        <w:tab w:val="center" w:pos="4153"/>
        <w:tab w:val="right" w:pos="8306"/>
      </w:tabs>
      <w:snapToGrid w:val="0"/>
      <w:jc w:val="left"/>
    </w:pPr>
    <w:rPr>
      <w:sz w:val="18"/>
      <w:szCs w:val="18"/>
    </w:rPr>
  </w:style>
  <w:style w:type="paragraph" w:styleId="14">
    <w:name w:val="header"/>
    <w:basedOn w:val="1"/>
    <w:link w:val="31"/>
    <w:qFormat/>
    <w:uiPriority w:val="0"/>
    <w:pPr>
      <w:pBdr>
        <w:bottom w:val="single" w:color="auto" w:sz="6" w:space="1"/>
      </w:pBdr>
      <w:tabs>
        <w:tab w:val="center" w:pos="4153"/>
        <w:tab w:val="right" w:pos="8306"/>
      </w:tabs>
      <w:snapToGrid w:val="0"/>
      <w:jc w:val="center"/>
    </w:pPr>
    <w:rPr>
      <w:sz w:val="18"/>
      <w:szCs w:val="18"/>
    </w:rPr>
  </w:style>
  <w:style w:type="paragraph" w:styleId="15">
    <w:name w:val="Body Text 2"/>
    <w:basedOn w:val="1"/>
    <w:qFormat/>
    <w:uiPriority w:val="0"/>
    <w:pPr>
      <w:spacing w:line="360" w:lineRule="auto"/>
    </w:pPr>
    <w:rPr>
      <w:sz w:val="24"/>
    </w:rPr>
  </w:style>
  <w:style w:type="paragraph" w:styleId="16">
    <w:name w:val="Normal (Web)"/>
    <w:basedOn w:val="1"/>
    <w:unhideWhenUsed/>
    <w:qFormat/>
    <w:uiPriority w:val="99"/>
    <w:pPr>
      <w:jc w:val="left"/>
    </w:pPr>
    <w:rPr>
      <w:rFonts w:ascii="Times New Roman" w:hAnsi="Times New Roman"/>
      <w:kern w:val="0"/>
      <w:sz w:val="24"/>
      <w:szCs w:val="20"/>
    </w:rPr>
  </w:style>
  <w:style w:type="table" w:styleId="18">
    <w:name w:val="Table Grid"/>
    <w:basedOn w:val="17"/>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0">
    <w:name w:val="Strong"/>
    <w:basedOn w:val="19"/>
    <w:qFormat/>
    <w:uiPriority w:val="0"/>
    <w:rPr>
      <w:b/>
    </w:rPr>
  </w:style>
  <w:style w:type="character" w:styleId="21">
    <w:name w:val="FollowedHyperlink"/>
    <w:basedOn w:val="19"/>
    <w:qFormat/>
    <w:uiPriority w:val="0"/>
    <w:rPr>
      <w:color w:val="4A4A4A"/>
      <w:u w:val="none"/>
    </w:rPr>
  </w:style>
  <w:style w:type="character" w:styleId="22">
    <w:name w:val="Emphasis"/>
    <w:basedOn w:val="19"/>
    <w:qFormat/>
    <w:uiPriority w:val="0"/>
  </w:style>
  <w:style w:type="character" w:styleId="23">
    <w:name w:val="HTML Definition"/>
    <w:basedOn w:val="19"/>
    <w:qFormat/>
    <w:uiPriority w:val="0"/>
  </w:style>
  <w:style w:type="character" w:styleId="24">
    <w:name w:val="HTML Acronym"/>
    <w:basedOn w:val="19"/>
    <w:qFormat/>
    <w:uiPriority w:val="0"/>
  </w:style>
  <w:style w:type="character" w:styleId="25">
    <w:name w:val="HTML Variable"/>
    <w:basedOn w:val="19"/>
    <w:qFormat/>
    <w:uiPriority w:val="0"/>
  </w:style>
  <w:style w:type="character" w:styleId="26">
    <w:name w:val="Hyperlink"/>
    <w:basedOn w:val="19"/>
    <w:qFormat/>
    <w:uiPriority w:val="0"/>
    <w:rPr>
      <w:color w:val="4A4A4A"/>
      <w:u w:val="none"/>
    </w:rPr>
  </w:style>
  <w:style w:type="character" w:styleId="27">
    <w:name w:val="HTML Code"/>
    <w:basedOn w:val="19"/>
    <w:qFormat/>
    <w:uiPriority w:val="0"/>
    <w:rPr>
      <w:rFonts w:ascii="Courier New" w:hAnsi="Courier New"/>
      <w:sz w:val="20"/>
    </w:rPr>
  </w:style>
  <w:style w:type="character" w:styleId="28">
    <w:name w:val="HTML Cite"/>
    <w:basedOn w:val="19"/>
    <w:qFormat/>
    <w:uiPriority w:val="0"/>
  </w:style>
  <w:style w:type="paragraph" w:customStyle="1" w:styleId="29">
    <w:name w:val="Normal_5"/>
    <w:qFormat/>
    <w:uiPriority w:val="0"/>
    <w:pPr>
      <w:widowControl w:val="0"/>
      <w:jc w:val="both"/>
    </w:pPr>
    <w:rPr>
      <w:rFonts w:ascii="Calibri" w:hAnsi="Calibri" w:eastAsia="宋体" w:cs="Calibri"/>
      <w:lang w:val="en-US" w:eastAsia="zh-CN" w:bidi="ar-SA"/>
    </w:rPr>
  </w:style>
  <w:style w:type="paragraph" w:customStyle="1" w:styleId="30">
    <w:name w:val="Plain Text_0"/>
    <w:basedOn w:val="29"/>
    <w:unhideWhenUsed/>
    <w:qFormat/>
    <w:uiPriority w:val="0"/>
    <w:rPr>
      <w:rFonts w:ascii="宋体" w:hAnsi="Courier New" w:eastAsiaTheme="minorEastAsia" w:cstheme="minorBidi"/>
      <w:szCs w:val="21"/>
    </w:rPr>
  </w:style>
  <w:style w:type="character" w:customStyle="1" w:styleId="31">
    <w:name w:val="Header Char"/>
    <w:basedOn w:val="19"/>
    <w:link w:val="14"/>
    <w:qFormat/>
    <w:uiPriority w:val="0"/>
    <w:rPr>
      <w:rFonts w:ascii="Calibri" w:hAnsi="Calibri"/>
      <w:kern w:val="2"/>
      <w:sz w:val="18"/>
      <w:szCs w:val="18"/>
    </w:rPr>
  </w:style>
  <w:style w:type="character" w:customStyle="1" w:styleId="32">
    <w:name w:val="Balloon Text Char"/>
    <w:basedOn w:val="19"/>
    <w:link w:val="12"/>
    <w:qFormat/>
    <w:uiPriority w:val="0"/>
    <w:rPr>
      <w:rFonts w:ascii="Calibri" w:hAnsi="Calibri"/>
      <w:kern w:val="2"/>
      <w:sz w:val="18"/>
      <w:szCs w:val="18"/>
    </w:rPr>
  </w:style>
  <w:style w:type="paragraph" w:customStyle="1" w:styleId="33">
    <w:name w:val="Normal_0"/>
    <w:basedOn w:val="1"/>
    <w:next w:val="1"/>
    <w:qFormat/>
    <w:uiPriority w:val="0"/>
    <w:pPr>
      <w:jc w:val="left"/>
    </w:pPr>
    <w:rPr>
      <w:kern w:val="0"/>
      <w:szCs w:val="21"/>
    </w:rPr>
  </w:style>
  <w:style w:type="paragraph" w:customStyle="1" w:styleId="34">
    <w:name w:val="正文_2"/>
    <w:basedOn w:val="1"/>
    <w:qFormat/>
    <w:uiPriority w:val="0"/>
    <w:pPr>
      <w:widowControl/>
      <w:jc w:val="left"/>
    </w:pPr>
    <w:rPr>
      <w:rFonts w:ascii="宋体" w:hAnsi="宋体" w:cs="宋体"/>
      <w:kern w:val="0"/>
      <w:sz w:val="24"/>
      <w:szCs w:val="24"/>
    </w:rPr>
  </w:style>
  <w:style w:type="paragraph" w:styleId="35">
    <w:name w:val="No Spacing"/>
    <w:basedOn w:val="1"/>
    <w:qFormat/>
    <w:uiPriority w:val="1"/>
    <w:pPr>
      <w:widowControl/>
      <w:ind w:left="250"/>
      <w:jc w:val="left"/>
    </w:pPr>
    <w:rPr>
      <w:rFonts w:eastAsiaTheme="minorEastAsia" w:cstheme="minorBidi"/>
      <w:sz w:val="24"/>
      <w:szCs w:val="32"/>
      <w:lang w:bidi="en-US"/>
    </w:rPr>
  </w:style>
  <w:style w:type="character" w:customStyle="1" w:styleId="36">
    <w:name w:val="HTML Markup"/>
    <w:qFormat/>
    <w:uiPriority w:val="0"/>
    <w:rPr>
      <w:vanish/>
      <w:color w:val="FF0000"/>
    </w:rPr>
  </w:style>
  <w:style w:type="paragraph" w:customStyle="1" w:styleId="37">
    <w:name w:val="style93_0"/>
    <w:basedOn w:val="38"/>
    <w:qFormat/>
    <w:uiPriority w:val="0"/>
    <w:pPr>
      <w:widowControl/>
      <w:spacing w:before="100" w:beforeAutospacing="1" w:after="100" w:afterAutospacing="1"/>
      <w:jc w:val="left"/>
    </w:pPr>
    <w:rPr>
      <w:rFonts w:ascii="宋体" w:hAnsi="宋体" w:cs="宋体"/>
      <w:sz w:val="24"/>
      <w:szCs w:val="24"/>
    </w:rPr>
  </w:style>
  <w:style w:type="paragraph" w:customStyle="1" w:styleId="38">
    <w:name w:val="Normal_2"/>
    <w:qFormat/>
    <w:uiPriority w:val="0"/>
    <w:pPr>
      <w:widowControl w:val="0"/>
      <w:jc w:val="both"/>
    </w:pPr>
    <w:rPr>
      <w:rFonts w:ascii="Calibri" w:hAnsi="Calibri" w:eastAsia="宋体" w:cs="Times New Roman"/>
      <w:lang w:val="en-US" w:eastAsia="zh-CN" w:bidi="ar-SA"/>
    </w:rPr>
  </w:style>
  <w:style w:type="paragraph" w:customStyle="1" w:styleId="39">
    <w:name w:val="Normal_3_2"/>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40">
    <w:name w:val="hover26"/>
    <w:basedOn w:val="19"/>
    <w:qFormat/>
    <w:uiPriority w:val="0"/>
    <w:rPr>
      <w:color w:val="446CB4"/>
      <w:u w:val="none"/>
      <w:bdr w:val="single" w:color="446CB4" w:sz="4" w:space="0"/>
    </w:rPr>
  </w:style>
  <w:style w:type="character" w:customStyle="1" w:styleId="41">
    <w:name w:val="hover27"/>
    <w:basedOn w:val="19"/>
    <w:qFormat/>
    <w:uiPriority w:val="0"/>
    <w:rPr>
      <w:color w:val="337AB7"/>
    </w:rPr>
  </w:style>
  <w:style w:type="character" w:customStyle="1" w:styleId="42">
    <w:name w:val="first-child"/>
    <w:basedOn w:val="19"/>
    <w:qFormat/>
    <w:uiPriority w:val="0"/>
  </w:style>
  <w:style w:type="character" w:customStyle="1" w:styleId="43">
    <w:name w:val="layui-this"/>
    <w:basedOn w:val="19"/>
    <w:qFormat/>
    <w:uiPriority w:val="0"/>
    <w:rPr>
      <w:bdr w:val="single" w:color="EEEEEE" w:sz="4" w:space="0"/>
      <w:shd w:val="clear" w:color="auto" w:fill="FFFFFF"/>
    </w:rPr>
  </w:style>
  <w:style w:type="paragraph" w:customStyle="1" w:styleId="44">
    <w:name w:val="修订1"/>
    <w:hidden/>
    <w:unhideWhenUsed/>
    <w:qFormat/>
    <w:uiPriority w:val="99"/>
    <w:rPr>
      <w:rFonts w:ascii="Calibri" w:hAnsi="Calibri" w:eastAsia="宋体" w:cs="Times New Roman"/>
      <w:kern w:val="2"/>
      <w:sz w:val="21"/>
      <w:szCs w:val="22"/>
      <w:lang w:val="en-US" w:eastAsia="zh-CN" w:bidi="ar-SA"/>
    </w:rPr>
  </w:style>
  <w:style w:type="paragraph" w:customStyle="1" w:styleId="45">
    <w:name w:val="正文 New New"/>
    <w:next w:val="46"/>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6">
    <w:name w:val="标题 1 New New"/>
    <w:basedOn w:val="45"/>
    <w:next w:val="45"/>
    <w:qFormat/>
    <w:uiPriority w:val="0"/>
    <w:pPr>
      <w:keepNext/>
      <w:keepLines/>
      <w:numPr>
        <w:ilvl w:val="0"/>
        <w:numId w:val="1"/>
      </w:numPr>
      <w:spacing w:before="340" w:after="330" w:line="576" w:lineRule="auto"/>
      <w:jc w:val="center"/>
      <w:outlineLvl w:val="0"/>
    </w:pPr>
    <w:rPr>
      <w:b/>
      <w:kern w:val="44"/>
      <w:sz w:val="36"/>
      <w:szCs w:val="20"/>
    </w:rPr>
  </w:style>
  <w:style w:type="paragraph" w:customStyle="1" w:styleId="47">
    <w:name w:val="Table Paragraph"/>
    <w:basedOn w:val="1"/>
    <w:qFormat/>
    <w:uiPriority w:val="1"/>
    <w:pPr>
      <w:jc w:val="left"/>
    </w:pPr>
    <w:rPr>
      <w:kern w:val="0"/>
      <w:sz w:val="22"/>
      <w:lang w:eastAsia="en-US"/>
    </w:rPr>
  </w:style>
  <w:style w:type="paragraph" w:styleId="48">
    <w:name w:val="List Paragraph"/>
    <w:basedOn w:val="1"/>
    <w:qFormat/>
    <w:uiPriority w:val="99"/>
    <w:pPr>
      <w:ind w:firstLine="420" w:firstLineChars="200"/>
    </w:pPr>
  </w:style>
  <w:style w:type="paragraph" w:customStyle="1" w:styleId="49">
    <w:name w:val="_Style 1"/>
    <w:qFormat/>
    <w:uiPriority w:val="0"/>
    <w:pPr>
      <w:adjustRightInd w:val="0"/>
      <w:snapToGrid w:val="0"/>
    </w:pPr>
    <w:rPr>
      <w:rFonts w:ascii="Tahoma" w:hAnsi="Tahoma" w:eastAsia="宋体" w:cs="Times New Roman"/>
      <w:sz w:val="22"/>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89D4D94-DA03-4020-9D3E-1A0F828DDD23}">
  <ds:schemaRefs/>
</ds:datastoreItem>
</file>

<file path=docProps/app.xml><?xml version="1.0" encoding="utf-8"?>
<Properties xmlns="http://schemas.openxmlformats.org/officeDocument/2006/extended-properties" xmlns:vt="http://schemas.openxmlformats.org/officeDocument/2006/docPropsVTypes">
  <Template>Normal.dotm</Template>
  <Pages>4</Pages>
  <Words>2130</Words>
  <Characters>2251</Characters>
  <Lines>2</Lines>
  <Paragraphs>2</Paragraphs>
  <TotalTime>11</TotalTime>
  <ScaleCrop>false</ScaleCrop>
  <LinksUpToDate>false</LinksUpToDate>
  <CharactersWithSpaces>2262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2025-06-06T08:52:00Z</dcterms:created>
  <dc:creator>YQY</dc:creator>
  <cp:lastModifiedBy>龙燕儿</cp:lastModifiedBy>
  <cp:lastPrinted>2025-04-23T07:05:00Z</cp:lastPrinted>
  <dcterms:modified xsi:type="dcterms:W3CDTF">2026-07-02T01:17:50Z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15A75E9AC3FB4586903ED2ACB8C4BEC7</vt:lpwstr>
  </property>
  <property fmtid="{D5CDD505-2E9C-101B-9397-08002B2CF9AE}" pid="4" name="KSOTemplateDocerSaveRecord">
    <vt:lpwstr>eyJoZGlkIjoiMWQwMjMwOTRlNDYzNDM5MWU2NWI5OWVhODRhMjE4NGMiLCJ1c2VySWQiOiI0MzgxMzU0OTIifQ==</vt:lpwstr>
  </property>
</Properties>
</file>